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5F" w:rsidRDefault="007B5F14">
      <w:r>
        <w:t>Os autores declaram não existir nenhum conflito de interesses no estudo realizado.</w:t>
      </w:r>
      <w:bookmarkStart w:id="0" w:name="_GoBack"/>
      <w:bookmarkEnd w:id="0"/>
    </w:p>
    <w:sectPr w:rsidR="007C0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0C"/>
    <w:rsid w:val="0057330C"/>
    <w:rsid w:val="007B5F14"/>
    <w:rsid w:val="007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3B73-60C6-4276-B9EC-A830B61F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Gabriel</dc:creator>
  <cp:keywords/>
  <dc:description/>
  <cp:lastModifiedBy>Teresa Gabriel</cp:lastModifiedBy>
  <cp:revision>2</cp:revision>
  <dcterms:created xsi:type="dcterms:W3CDTF">2016-04-16T18:41:00Z</dcterms:created>
  <dcterms:modified xsi:type="dcterms:W3CDTF">2016-04-16T18:42:00Z</dcterms:modified>
</cp:coreProperties>
</file>