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34" w:rsidRPr="00881C5F" w:rsidRDefault="00466E34" w:rsidP="00881C5F">
      <w:pPr>
        <w:pStyle w:val="SemEspaamento"/>
        <w:spacing w:line="480" w:lineRule="auto"/>
        <w:jc w:val="left"/>
        <w:rPr>
          <w:b/>
        </w:rPr>
      </w:pPr>
      <w:r w:rsidRPr="00881C5F">
        <w:rPr>
          <w:b/>
        </w:rPr>
        <w:t xml:space="preserve">Doença Pneumocócica Invasiva: </w:t>
      </w:r>
      <w:r w:rsidR="002B5E81" w:rsidRPr="00881C5F">
        <w:rPr>
          <w:b/>
        </w:rPr>
        <w:t>treze</w:t>
      </w:r>
      <w:r w:rsidRPr="00881C5F">
        <w:rPr>
          <w:b/>
        </w:rPr>
        <w:t xml:space="preserve"> anos de </w:t>
      </w:r>
      <w:r w:rsidR="002B5E81" w:rsidRPr="00881C5F">
        <w:rPr>
          <w:b/>
        </w:rPr>
        <w:t xml:space="preserve">experiência </w:t>
      </w:r>
      <w:r w:rsidR="00E91585">
        <w:rPr>
          <w:b/>
        </w:rPr>
        <w:t>no Hospital de</w:t>
      </w:r>
      <w:r w:rsidR="003450D5" w:rsidRPr="00881C5F">
        <w:rPr>
          <w:b/>
        </w:rPr>
        <w:t xml:space="preserve"> Vila Real</w:t>
      </w:r>
      <w:r w:rsidR="002B5E81" w:rsidRPr="00881C5F">
        <w:rPr>
          <w:b/>
        </w:rPr>
        <w:t xml:space="preserve"> </w:t>
      </w:r>
    </w:p>
    <w:p w:rsidR="00233EBE" w:rsidRDefault="00233EBE" w:rsidP="00881C5F">
      <w:pPr>
        <w:spacing w:line="480" w:lineRule="auto"/>
        <w:jc w:val="left"/>
        <w:rPr>
          <w:b/>
          <w:lang w:val="en-US"/>
        </w:rPr>
      </w:pPr>
      <w:r w:rsidRPr="00881C5F">
        <w:rPr>
          <w:b/>
          <w:lang w:val="en-US"/>
        </w:rPr>
        <w:t xml:space="preserve">Invasive Pneumococcal Disease: thirteen years of experience at Vila Real Hospital </w:t>
      </w:r>
    </w:p>
    <w:p w:rsidR="00E91585" w:rsidRPr="00881C5F" w:rsidRDefault="00E91585" w:rsidP="00881C5F">
      <w:pPr>
        <w:spacing w:line="480" w:lineRule="auto"/>
        <w:jc w:val="left"/>
        <w:rPr>
          <w:b/>
          <w:lang w:val="en-US"/>
        </w:rPr>
      </w:pPr>
    </w:p>
    <w:p w:rsidR="00C27E06" w:rsidRPr="00881C5F" w:rsidRDefault="00C27E06" w:rsidP="00881C5F">
      <w:pPr>
        <w:pStyle w:val="SemEspaamento"/>
        <w:spacing w:line="480" w:lineRule="auto"/>
        <w:jc w:val="left"/>
      </w:pPr>
      <w:r w:rsidRPr="00881C5F">
        <w:t>Helena Pereira, Clara Preto, Marisa Sousa, Fátima Dias, Eurico Gaspar</w:t>
      </w:r>
    </w:p>
    <w:p w:rsidR="00C27E06" w:rsidRPr="00881C5F" w:rsidRDefault="00C27E06" w:rsidP="00881C5F">
      <w:pPr>
        <w:pStyle w:val="SemEspaamento"/>
        <w:spacing w:line="480" w:lineRule="auto"/>
        <w:jc w:val="left"/>
      </w:pPr>
      <w:r w:rsidRPr="00881C5F">
        <w:t>Serviço de Pediatria do CHTMAD, EPE – Unidade de Vila Real</w:t>
      </w: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D43EFA" w:rsidRPr="00881C5F" w:rsidRDefault="00D43EFA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  <w:r w:rsidRPr="00881C5F">
        <w:rPr>
          <w:u w:val="single"/>
        </w:rPr>
        <w:t>Correspondência</w:t>
      </w:r>
      <w:r w:rsidRPr="00881C5F">
        <w:t>:</w:t>
      </w:r>
    </w:p>
    <w:p w:rsidR="00292BDB" w:rsidRPr="00881C5F" w:rsidRDefault="00292BDB" w:rsidP="00881C5F">
      <w:pPr>
        <w:spacing w:line="480" w:lineRule="auto"/>
        <w:jc w:val="left"/>
      </w:pPr>
      <w:r w:rsidRPr="00881C5F">
        <w:t>Helena Isabel de Almeida Pereira</w:t>
      </w:r>
    </w:p>
    <w:p w:rsidR="00292BDB" w:rsidRPr="00881C5F" w:rsidRDefault="00292BDB" w:rsidP="00881C5F">
      <w:pPr>
        <w:spacing w:line="480" w:lineRule="auto"/>
        <w:jc w:val="left"/>
      </w:pPr>
      <w:r w:rsidRPr="00881C5F">
        <w:t>Serviço de Pediatria do Centro Hospitalar de Trás-os-Montes e Alto Douro – Unidade de Vila Real</w:t>
      </w:r>
    </w:p>
    <w:p w:rsidR="00292BDB" w:rsidRPr="00881C5F" w:rsidRDefault="00292BDB" w:rsidP="00881C5F">
      <w:pPr>
        <w:spacing w:line="480" w:lineRule="auto"/>
        <w:jc w:val="left"/>
      </w:pPr>
      <w:r w:rsidRPr="00881C5F">
        <w:t>Avenida da Noruega</w:t>
      </w:r>
    </w:p>
    <w:p w:rsidR="00292BDB" w:rsidRPr="00881C5F" w:rsidRDefault="00292BDB" w:rsidP="00881C5F">
      <w:pPr>
        <w:spacing w:line="480" w:lineRule="auto"/>
        <w:jc w:val="left"/>
      </w:pPr>
      <w:r w:rsidRPr="00881C5F">
        <w:t>5000 Vila Real</w:t>
      </w:r>
    </w:p>
    <w:p w:rsidR="00292BDB" w:rsidRPr="00881C5F" w:rsidRDefault="00292BDB" w:rsidP="00881C5F">
      <w:pPr>
        <w:spacing w:line="480" w:lineRule="auto"/>
        <w:jc w:val="left"/>
      </w:pPr>
    </w:p>
    <w:p w:rsidR="00292BDB" w:rsidRPr="00881C5F" w:rsidRDefault="00292BDB" w:rsidP="00881C5F">
      <w:pPr>
        <w:spacing w:line="480" w:lineRule="auto"/>
        <w:jc w:val="left"/>
      </w:pPr>
      <w:r w:rsidRPr="00881C5F">
        <w:rPr>
          <w:i/>
          <w:u w:val="single"/>
        </w:rPr>
        <w:t>E-mail</w:t>
      </w:r>
      <w:r w:rsidRPr="00881C5F">
        <w:t xml:space="preserve">: </w:t>
      </w:r>
      <w:hyperlink r:id="rId8" w:history="1">
        <w:r w:rsidR="00A7322F" w:rsidRPr="00881C5F">
          <w:rPr>
            <w:rStyle w:val="Hiperligao"/>
          </w:rPr>
          <w:t>hiapereira@gmail.com</w:t>
        </w:r>
      </w:hyperlink>
    </w:p>
    <w:p w:rsidR="00466E34" w:rsidRPr="00881C5F" w:rsidRDefault="00A7322F" w:rsidP="00881C5F">
      <w:pPr>
        <w:tabs>
          <w:tab w:val="clear" w:pos="284"/>
        </w:tabs>
        <w:spacing w:line="480" w:lineRule="auto"/>
        <w:jc w:val="left"/>
        <w:rPr>
          <w:b/>
        </w:rPr>
      </w:pPr>
      <w:r w:rsidRPr="00881C5F">
        <w:rPr>
          <w:b/>
        </w:rPr>
        <w:br w:type="page"/>
      </w:r>
      <w:r w:rsidR="00466E34" w:rsidRPr="00881C5F">
        <w:rPr>
          <w:b/>
        </w:rPr>
        <w:lastRenderedPageBreak/>
        <w:t>Resumo</w:t>
      </w:r>
    </w:p>
    <w:p w:rsidR="00466E34" w:rsidRPr="00881C5F" w:rsidRDefault="00466E34" w:rsidP="00881C5F">
      <w:pPr>
        <w:spacing w:line="480" w:lineRule="auto"/>
        <w:jc w:val="left"/>
        <w:rPr>
          <w:b/>
        </w:rPr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Introdução</w:t>
      </w:r>
      <w:r w:rsidRPr="00881C5F">
        <w:t xml:space="preserve">: O </w:t>
      </w:r>
      <w:r w:rsidRPr="00881C5F">
        <w:rPr>
          <w:i/>
        </w:rPr>
        <w:t>Streptococcus pneumoniae</w:t>
      </w:r>
      <w:r w:rsidRPr="00881C5F">
        <w:t xml:space="preserve"> constitui a causa mais freque</w:t>
      </w:r>
      <w:r w:rsidR="00A662FC" w:rsidRPr="00881C5F">
        <w:t xml:space="preserve">nte de bacteriémia e pneumonia e </w:t>
      </w:r>
      <w:r w:rsidRPr="00881C5F">
        <w:t>a segunda causa de meningite</w:t>
      </w:r>
      <w:r w:rsidR="002D7A21" w:rsidRPr="00881C5F">
        <w:t xml:space="preserve"> bacteriana</w:t>
      </w:r>
      <w:r w:rsidRPr="00881C5F">
        <w:t xml:space="preserve"> em idade pediátrica. A doença pneumocócica invasiva (DPI) </w:t>
      </w:r>
      <w:r w:rsidR="00A662FC" w:rsidRPr="00881C5F">
        <w:t>per</w:t>
      </w:r>
      <w:r w:rsidR="00B078D1" w:rsidRPr="00881C5F">
        <w:t>manece uma</w:t>
      </w:r>
      <w:r w:rsidR="00735242">
        <w:t xml:space="preserve"> importante causa de morbi</w:t>
      </w:r>
      <w:r w:rsidRPr="00881C5F">
        <w:t xml:space="preserve">mortalidade. </w:t>
      </w:r>
    </w:p>
    <w:p w:rsidR="00D7782F" w:rsidRPr="00881C5F" w:rsidRDefault="00D7782F" w:rsidP="00881C5F">
      <w:pPr>
        <w:spacing w:line="480" w:lineRule="auto"/>
        <w:jc w:val="left"/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Objectivos</w:t>
      </w:r>
      <w:r w:rsidRPr="00881C5F">
        <w:t xml:space="preserve">: </w:t>
      </w:r>
      <w:r w:rsidR="0040326A" w:rsidRPr="00881C5F">
        <w:t>Avaliar a fr</w:t>
      </w:r>
      <w:r w:rsidRPr="00881C5F">
        <w:t>equência de DPI na área de influência do Hos</w:t>
      </w:r>
      <w:r w:rsidR="0040326A" w:rsidRPr="00881C5F">
        <w:t xml:space="preserve">pital de Vila Real, </w:t>
      </w:r>
      <w:r w:rsidRPr="00881C5F">
        <w:t>aspectos relacionados com a patologia e o impacto da vacinação anti-pneumocócica.</w:t>
      </w:r>
    </w:p>
    <w:p w:rsidR="00D7782F" w:rsidRPr="00881C5F" w:rsidRDefault="00D7782F" w:rsidP="00881C5F">
      <w:pPr>
        <w:spacing w:line="480" w:lineRule="auto"/>
        <w:jc w:val="left"/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Material e métodos</w:t>
      </w:r>
      <w:r w:rsidRPr="00881C5F">
        <w:t>: Análise retrospectiva dos processos de cria</w:t>
      </w:r>
      <w:r w:rsidR="00292BDB" w:rsidRPr="00881C5F">
        <w:t>nças admitidas com DPI</w:t>
      </w:r>
      <w:r w:rsidRPr="00881C5F">
        <w:t xml:space="preserve"> no período compree</w:t>
      </w:r>
      <w:r w:rsidR="00C15594" w:rsidRPr="00881C5F">
        <w:t xml:space="preserve">ndido entre </w:t>
      </w:r>
      <w:r w:rsidR="007A54E0" w:rsidRPr="00881C5F">
        <w:t>01/</w:t>
      </w:r>
      <w:r w:rsidR="00C15594" w:rsidRPr="00881C5F">
        <w:t xml:space="preserve">Janeiro/2000 e </w:t>
      </w:r>
      <w:r w:rsidR="002B11E1" w:rsidRPr="00881C5F">
        <w:t>31/</w:t>
      </w:r>
      <w:r w:rsidR="00C15594" w:rsidRPr="00881C5F">
        <w:t>Dezembro</w:t>
      </w:r>
      <w:r w:rsidR="00CF325A" w:rsidRPr="00881C5F">
        <w:t>/2012</w:t>
      </w:r>
      <w:r w:rsidR="00B247EA" w:rsidRPr="00881C5F">
        <w:t xml:space="preserve">. </w:t>
      </w:r>
      <w:r w:rsidRPr="00881C5F">
        <w:t xml:space="preserve">Analisaram-se </w:t>
      </w:r>
      <w:r w:rsidR="002B11E1" w:rsidRPr="00881C5F">
        <w:t>características socio</w:t>
      </w:r>
      <w:r w:rsidR="00B247EA" w:rsidRPr="00881C5F">
        <w:t>-</w:t>
      </w:r>
      <w:r w:rsidR="002B11E1" w:rsidRPr="00881C5F">
        <w:t>demográficas, epidemiológicas, clínicas e microbiológicas.</w:t>
      </w:r>
    </w:p>
    <w:p w:rsidR="00D7782F" w:rsidRPr="00881C5F" w:rsidRDefault="00D7782F" w:rsidP="00881C5F">
      <w:pPr>
        <w:spacing w:line="480" w:lineRule="auto"/>
        <w:jc w:val="left"/>
        <w:rPr>
          <w:color w:val="FF0000"/>
        </w:rPr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Resultados</w:t>
      </w:r>
      <w:r w:rsidR="002B5E81" w:rsidRPr="00881C5F">
        <w:t>: Identificaram-se 32</w:t>
      </w:r>
      <w:r w:rsidRPr="00881C5F">
        <w:t xml:space="preserve"> casos de DPI, </w:t>
      </w:r>
      <w:r w:rsidR="00CF325A" w:rsidRPr="00881C5F">
        <w:t>59,4</w:t>
      </w:r>
      <w:r w:rsidRPr="00881C5F">
        <w:t xml:space="preserve">% no primeiro ano de vida. Dos casos analisados, </w:t>
      </w:r>
      <w:r w:rsidR="00CF325A" w:rsidRPr="00881C5F">
        <w:t>28,1</w:t>
      </w:r>
      <w:r w:rsidRPr="00881C5F">
        <w:t xml:space="preserve">% apresentavam vacinação anti-pneumocócica e </w:t>
      </w:r>
      <w:r w:rsidR="00CF325A" w:rsidRPr="00881C5F">
        <w:t>15,6</w:t>
      </w:r>
      <w:r w:rsidRPr="00881C5F">
        <w:t>% pertenciam a grupos de risco. O sexo masculino foi o mais afectado</w:t>
      </w:r>
      <w:r w:rsidR="007A54E0" w:rsidRPr="00881C5F">
        <w:t xml:space="preserve">. </w:t>
      </w:r>
      <w:r w:rsidRPr="00881C5F">
        <w:t>O diagnóstico ma</w:t>
      </w:r>
      <w:r w:rsidR="00292BDB" w:rsidRPr="00881C5F">
        <w:t>is frequente foi</w:t>
      </w:r>
      <w:r w:rsidRPr="00881C5F">
        <w:t xml:space="preserve"> pneumonia</w:t>
      </w:r>
      <w:r w:rsidR="00292BDB" w:rsidRPr="00881C5F">
        <w:t xml:space="preserve"> com bacteriémia</w:t>
      </w:r>
      <w:r w:rsidRPr="00881C5F">
        <w:t xml:space="preserve"> (</w:t>
      </w:r>
      <w:r w:rsidR="00CF325A" w:rsidRPr="00881C5F">
        <w:t>50</w:t>
      </w:r>
      <w:r w:rsidRPr="00881C5F">
        <w:t xml:space="preserve">%). Em </w:t>
      </w:r>
      <w:r w:rsidR="00CF325A" w:rsidRPr="00881C5F">
        <w:t>90,6</w:t>
      </w:r>
      <w:r w:rsidRPr="00881C5F">
        <w:t>% dos casos, o microrganismo foi isolado em hemocultura e em 9,</w:t>
      </w:r>
      <w:r w:rsidR="00CF325A" w:rsidRPr="00881C5F">
        <w:t>4</w:t>
      </w:r>
      <w:r w:rsidRPr="00881C5F">
        <w:t xml:space="preserve">% em hemocultura e cultura de líquor simultaneamente, tendo-se verificado resistências em </w:t>
      </w:r>
      <w:r w:rsidR="00CF325A" w:rsidRPr="00881C5F">
        <w:t>15,6</w:t>
      </w:r>
      <w:r w:rsidRPr="00881C5F">
        <w:t>%</w:t>
      </w:r>
      <w:r w:rsidR="002B11E1" w:rsidRPr="00881C5F">
        <w:t>. O serótipo mais frequente</w:t>
      </w:r>
      <w:r w:rsidRPr="00881C5F">
        <w:t xml:space="preserve"> foi o 1, seguido do 19</w:t>
      </w:r>
      <w:r w:rsidR="00A662FC" w:rsidRPr="00881C5F">
        <w:t xml:space="preserve">A. </w:t>
      </w:r>
      <w:r w:rsidR="00BA08A4" w:rsidRPr="00881C5F">
        <w:t>Oito</w:t>
      </w:r>
      <w:r w:rsidR="00A662FC" w:rsidRPr="00881C5F">
        <w:t xml:space="preserve"> crianças </w:t>
      </w:r>
      <w:r w:rsidRPr="00881C5F">
        <w:t xml:space="preserve">apresentaram complicações precoces e </w:t>
      </w:r>
      <w:r w:rsidR="00B247EA" w:rsidRPr="00881C5F">
        <w:t>duas evoluí</w:t>
      </w:r>
      <w:r w:rsidR="00A662FC" w:rsidRPr="00881C5F">
        <w:t>ram</w:t>
      </w:r>
      <w:r w:rsidRPr="00881C5F">
        <w:t xml:space="preserve"> com sequelas. Não se verificaram óbitos.</w:t>
      </w:r>
    </w:p>
    <w:p w:rsidR="000E19AD" w:rsidRPr="00881C5F" w:rsidRDefault="000E19AD" w:rsidP="00881C5F">
      <w:pPr>
        <w:spacing w:line="480" w:lineRule="auto"/>
        <w:jc w:val="left"/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Discussão</w:t>
      </w:r>
      <w:r w:rsidRPr="003D5B29">
        <w:t>:</w:t>
      </w:r>
      <w:r w:rsidR="002B11E1" w:rsidRPr="003D5B29">
        <w:t xml:space="preserve"> </w:t>
      </w:r>
      <w:r w:rsidR="00815DBA">
        <w:t>Os dados obtidos são concordantes com o descrito na literatura. No nosso estudo, v</w:t>
      </w:r>
      <w:r w:rsidR="007A54E0" w:rsidRPr="003D5B29">
        <w:t>erificámos</w:t>
      </w:r>
      <w:r w:rsidRPr="00881C5F">
        <w:t xml:space="preserve"> predomínio de serótipos não vacinais. </w:t>
      </w:r>
      <w:r w:rsidRPr="000B69EA">
        <w:t xml:space="preserve">A identificação do padrão de resistência </w:t>
      </w:r>
      <w:r w:rsidRPr="000B69EA">
        <w:lastRenderedPageBreak/>
        <w:t>aos antimicrobianos e a caracterização epidemiológica dos serótipos mais frequentes em Portugal assumem particular interesse na abordagem da criança com DPI</w:t>
      </w:r>
      <w:r w:rsidR="007A54E0" w:rsidRPr="000B69EA">
        <w:t>.</w:t>
      </w:r>
    </w:p>
    <w:p w:rsidR="00A23028" w:rsidRPr="00881C5F" w:rsidRDefault="00A23028" w:rsidP="00881C5F">
      <w:pPr>
        <w:spacing w:line="480" w:lineRule="auto"/>
        <w:jc w:val="left"/>
      </w:pPr>
    </w:p>
    <w:p w:rsidR="00466E34" w:rsidRPr="00881C5F" w:rsidRDefault="00466E34" w:rsidP="00881C5F">
      <w:pPr>
        <w:spacing w:line="480" w:lineRule="auto"/>
        <w:jc w:val="left"/>
      </w:pPr>
      <w:r w:rsidRPr="00881C5F">
        <w:rPr>
          <w:u w:val="single"/>
        </w:rPr>
        <w:t>Palavras-chave</w:t>
      </w:r>
      <w:r w:rsidRPr="00881C5F">
        <w:t>: doença pneumocócica invasiva,</w:t>
      </w:r>
      <w:r w:rsidR="00F67D90" w:rsidRPr="00881C5F">
        <w:t xml:space="preserve"> grupos de risco, </w:t>
      </w:r>
      <w:r w:rsidRPr="00881C5F">
        <w:t xml:space="preserve">serótipo, </w:t>
      </w:r>
      <w:r w:rsidR="00F67D90" w:rsidRPr="00881C5F">
        <w:t xml:space="preserve">vacina anti-pneumocócica, </w:t>
      </w:r>
      <w:r w:rsidRPr="00881C5F">
        <w:t>vigilância epidemiológica</w:t>
      </w:r>
    </w:p>
    <w:p w:rsidR="00466E34" w:rsidRPr="00881C5F" w:rsidRDefault="00466E34" w:rsidP="00881C5F">
      <w:pPr>
        <w:spacing w:line="480" w:lineRule="auto"/>
        <w:jc w:val="left"/>
        <w:rPr>
          <w:b/>
        </w:rPr>
      </w:pPr>
    </w:p>
    <w:p w:rsidR="00EA34EC" w:rsidRPr="00881C5F" w:rsidRDefault="00EA34EC" w:rsidP="00881C5F">
      <w:pPr>
        <w:tabs>
          <w:tab w:val="clear" w:pos="284"/>
        </w:tabs>
        <w:spacing w:line="480" w:lineRule="auto"/>
        <w:jc w:val="left"/>
        <w:rPr>
          <w:b/>
        </w:rPr>
      </w:pPr>
      <w:r w:rsidRPr="00881C5F">
        <w:rPr>
          <w:b/>
        </w:rPr>
        <w:br w:type="page"/>
      </w:r>
    </w:p>
    <w:p w:rsidR="00DD2F76" w:rsidRPr="00881C5F" w:rsidRDefault="00EA34EC" w:rsidP="00881C5F">
      <w:pPr>
        <w:spacing w:line="480" w:lineRule="auto"/>
        <w:jc w:val="left"/>
        <w:rPr>
          <w:b/>
          <w:lang w:val="en-US"/>
        </w:rPr>
      </w:pPr>
      <w:r w:rsidRPr="00881C5F">
        <w:rPr>
          <w:b/>
          <w:lang w:val="en-US"/>
        </w:rPr>
        <w:lastRenderedPageBreak/>
        <w:t>Abstract</w:t>
      </w:r>
    </w:p>
    <w:p w:rsidR="00466E34" w:rsidRPr="00881C5F" w:rsidRDefault="00466E34" w:rsidP="00881C5F">
      <w:pPr>
        <w:spacing w:line="480" w:lineRule="auto"/>
        <w:jc w:val="left"/>
        <w:rPr>
          <w:b/>
          <w:lang w:val="en-US"/>
        </w:rPr>
      </w:pPr>
    </w:p>
    <w:p w:rsidR="00C27E06" w:rsidRPr="00881C5F" w:rsidRDefault="00C27E06" w:rsidP="00881C5F">
      <w:pPr>
        <w:spacing w:line="480" w:lineRule="auto"/>
        <w:jc w:val="left"/>
        <w:rPr>
          <w:lang w:val="en-US"/>
        </w:rPr>
      </w:pPr>
      <w:r w:rsidRPr="00881C5F">
        <w:rPr>
          <w:u w:val="single"/>
          <w:lang w:val="en-US"/>
        </w:rPr>
        <w:t>Introduction</w:t>
      </w:r>
      <w:r w:rsidRPr="00881C5F">
        <w:rPr>
          <w:lang w:val="en-US"/>
        </w:rPr>
        <w:t>:</w:t>
      </w:r>
      <w:r w:rsidR="00EA34EC" w:rsidRPr="00881C5F">
        <w:rPr>
          <w:i/>
          <w:lang w:val="en-US"/>
        </w:rPr>
        <w:t xml:space="preserve"> Streptococcus pneumoniae </w:t>
      </w:r>
      <w:r w:rsidR="00EA34EC" w:rsidRPr="00881C5F">
        <w:rPr>
          <w:lang w:val="en-US"/>
        </w:rPr>
        <w:t xml:space="preserve">is </w:t>
      </w:r>
      <w:r w:rsidR="00D7782F" w:rsidRPr="00881C5F">
        <w:rPr>
          <w:lang w:val="en-US"/>
        </w:rPr>
        <w:t>the most common</w:t>
      </w:r>
      <w:r w:rsidR="00EA34EC" w:rsidRPr="00881C5F">
        <w:rPr>
          <w:lang w:val="en-US"/>
        </w:rPr>
        <w:t xml:space="preserve"> cause of bacteremia and pneumonia, and the second </w:t>
      </w:r>
      <w:r w:rsidR="00D7782F" w:rsidRPr="00881C5F">
        <w:rPr>
          <w:lang w:val="en-US"/>
        </w:rPr>
        <w:t xml:space="preserve">most frequent </w:t>
      </w:r>
      <w:r w:rsidR="00EA34EC" w:rsidRPr="00881C5F">
        <w:rPr>
          <w:lang w:val="en-US"/>
        </w:rPr>
        <w:t>cause of bacterial meningitis</w:t>
      </w:r>
      <w:r w:rsidR="00D7782F" w:rsidRPr="00881C5F">
        <w:rPr>
          <w:lang w:val="en-US"/>
        </w:rPr>
        <w:t xml:space="preserve"> in pediatric </w:t>
      </w:r>
      <w:r w:rsidR="00B247EA" w:rsidRPr="00881C5F">
        <w:rPr>
          <w:lang w:val="en-US"/>
        </w:rPr>
        <w:t>age</w:t>
      </w:r>
      <w:r w:rsidR="00EA34EC" w:rsidRPr="00881C5F">
        <w:rPr>
          <w:lang w:val="en-US"/>
        </w:rPr>
        <w:t xml:space="preserve">. Invasive pneumococcal disease (IPD) </w:t>
      </w:r>
      <w:r w:rsidR="00D7782F" w:rsidRPr="00881C5F">
        <w:rPr>
          <w:lang w:val="en-US"/>
        </w:rPr>
        <w:t>is sti</w:t>
      </w:r>
      <w:r w:rsidR="00D86143" w:rsidRPr="00881C5F">
        <w:rPr>
          <w:lang w:val="en-US"/>
        </w:rPr>
        <w:t xml:space="preserve">ll associated with high morbidity and </w:t>
      </w:r>
      <w:r w:rsidR="00D7782F" w:rsidRPr="00881C5F">
        <w:rPr>
          <w:lang w:val="en-US"/>
        </w:rPr>
        <w:t>mortality.</w:t>
      </w:r>
    </w:p>
    <w:p w:rsidR="00EA34EC" w:rsidRPr="00881C5F" w:rsidRDefault="00EA34EC" w:rsidP="00881C5F">
      <w:pPr>
        <w:spacing w:line="480" w:lineRule="auto"/>
        <w:jc w:val="left"/>
        <w:rPr>
          <w:lang w:val="en-US"/>
        </w:rPr>
      </w:pPr>
    </w:p>
    <w:p w:rsidR="00C27E06" w:rsidRPr="00881C5F" w:rsidRDefault="00270866" w:rsidP="00881C5F">
      <w:pPr>
        <w:spacing w:line="480" w:lineRule="auto"/>
        <w:jc w:val="left"/>
        <w:rPr>
          <w:lang w:val="en-US"/>
        </w:rPr>
      </w:pPr>
      <w:r w:rsidRPr="00881C5F">
        <w:rPr>
          <w:u w:val="single"/>
          <w:lang w:val="en-US"/>
        </w:rPr>
        <w:t>Aim</w:t>
      </w:r>
      <w:r w:rsidR="00C27E06" w:rsidRPr="00881C5F">
        <w:rPr>
          <w:u w:val="single"/>
          <w:lang w:val="en-US"/>
        </w:rPr>
        <w:t>s</w:t>
      </w:r>
      <w:r w:rsidR="00C27E06" w:rsidRPr="00881C5F">
        <w:rPr>
          <w:lang w:val="en-US"/>
        </w:rPr>
        <w:t>:</w:t>
      </w:r>
      <w:r w:rsidR="00D7782F" w:rsidRPr="00881C5F">
        <w:rPr>
          <w:lang w:val="en-US"/>
        </w:rPr>
        <w:t xml:space="preserve"> To determine the frequency of IPD in the area of Vila Real Hospital, identify aspects related to the disease and discuss the impact of anti-pneumococcal vaccination.</w:t>
      </w:r>
    </w:p>
    <w:p w:rsidR="00D7782F" w:rsidRPr="00881C5F" w:rsidRDefault="00D7782F" w:rsidP="00881C5F">
      <w:pPr>
        <w:spacing w:line="480" w:lineRule="auto"/>
        <w:jc w:val="left"/>
        <w:rPr>
          <w:u w:val="single"/>
          <w:lang w:val="en-US"/>
        </w:rPr>
      </w:pPr>
    </w:p>
    <w:p w:rsidR="00D7782F" w:rsidRPr="00881C5F" w:rsidRDefault="00C27E06" w:rsidP="00881C5F">
      <w:pPr>
        <w:spacing w:line="480" w:lineRule="auto"/>
        <w:jc w:val="left"/>
        <w:rPr>
          <w:lang w:val="en-US"/>
        </w:rPr>
      </w:pPr>
      <w:r w:rsidRPr="00881C5F">
        <w:rPr>
          <w:u w:val="single"/>
          <w:lang w:val="en-US"/>
        </w:rPr>
        <w:t>Material and methods</w:t>
      </w:r>
      <w:r w:rsidRPr="00881C5F">
        <w:rPr>
          <w:lang w:val="en-US"/>
        </w:rPr>
        <w:t>:</w:t>
      </w:r>
      <w:r w:rsidR="00D7782F" w:rsidRPr="00881C5F">
        <w:rPr>
          <w:lang w:val="en-US"/>
        </w:rPr>
        <w:t xml:space="preserve"> Retrospective study of the clinical files of children with IPD from 1</w:t>
      </w:r>
      <w:r w:rsidR="00D7782F" w:rsidRPr="00881C5F">
        <w:rPr>
          <w:vertAlign w:val="superscript"/>
          <w:lang w:val="en-US"/>
        </w:rPr>
        <w:t>st</w:t>
      </w:r>
      <w:r w:rsidR="00D7782F" w:rsidRPr="00881C5F">
        <w:rPr>
          <w:lang w:val="en-US"/>
        </w:rPr>
        <w:t xml:space="preserve"> January 2000 to 31</w:t>
      </w:r>
      <w:r w:rsidR="00D7782F" w:rsidRPr="00881C5F">
        <w:rPr>
          <w:vertAlign w:val="superscript"/>
          <w:lang w:val="en-US"/>
        </w:rPr>
        <w:t>st</w:t>
      </w:r>
      <w:r w:rsidR="00BF4C81" w:rsidRPr="00881C5F">
        <w:rPr>
          <w:lang w:val="en-US"/>
        </w:rPr>
        <w:t xml:space="preserve"> December 2012</w:t>
      </w:r>
      <w:r w:rsidR="00D7782F" w:rsidRPr="00881C5F">
        <w:rPr>
          <w:lang w:val="en-US"/>
        </w:rPr>
        <w:t xml:space="preserve">. Socio-demographic, epidemiologic, clinical and laboratory data were </w:t>
      </w:r>
      <w:r w:rsidR="00C02F95" w:rsidRPr="00881C5F">
        <w:rPr>
          <w:lang w:val="en-US"/>
        </w:rPr>
        <w:t>analysed</w:t>
      </w:r>
      <w:r w:rsidR="00D7782F" w:rsidRPr="00881C5F">
        <w:rPr>
          <w:lang w:val="en-US"/>
        </w:rPr>
        <w:t>.</w:t>
      </w:r>
    </w:p>
    <w:p w:rsidR="00D7782F" w:rsidRPr="00881C5F" w:rsidRDefault="00D7782F" w:rsidP="00881C5F">
      <w:pPr>
        <w:spacing w:line="480" w:lineRule="auto"/>
        <w:jc w:val="left"/>
        <w:rPr>
          <w:lang w:val="en-US"/>
        </w:rPr>
      </w:pPr>
    </w:p>
    <w:p w:rsidR="00C27E06" w:rsidRPr="00881C5F" w:rsidRDefault="00C27E06" w:rsidP="00881C5F">
      <w:pPr>
        <w:spacing w:line="480" w:lineRule="auto"/>
        <w:jc w:val="left"/>
        <w:rPr>
          <w:lang w:val="en-US"/>
        </w:rPr>
      </w:pPr>
      <w:r w:rsidRPr="00881C5F">
        <w:rPr>
          <w:u w:val="single"/>
          <w:lang w:val="en-US"/>
        </w:rPr>
        <w:t>Results</w:t>
      </w:r>
      <w:r w:rsidRPr="00881C5F">
        <w:rPr>
          <w:lang w:val="en-US"/>
        </w:rPr>
        <w:t>:</w:t>
      </w:r>
      <w:r w:rsidR="000E19AD" w:rsidRPr="00881C5F">
        <w:rPr>
          <w:lang w:val="en-US"/>
        </w:rPr>
        <w:t xml:space="preserve"> </w:t>
      </w:r>
      <w:r w:rsidR="00BF4C81" w:rsidRPr="00881C5F">
        <w:rPr>
          <w:lang w:val="en-US"/>
        </w:rPr>
        <w:t>Thirty-two</w:t>
      </w:r>
      <w:r w:rsidR="00EC0C6B" w:rsidRPr="00881C5F">
        <w:rPr>
          <w:lang w:val="en-US"/>
        </w:rPr>
        <w:t xml:space="preserve"> chil</w:t>
      </w:r>
      <w:r w:rsidR="00B247EA" w:rsidRPr="00881C5F">
        <w:rPr>
          <w:lang w:val="en-US"/>
        </w:rPr>
        <w:t xml:space="preserve">dren had IPD in this period, </w:t>
      </w:r>
      <w:r w:rsidR="00BF4C81" w:rsidRPr="00881C5F">
        <w:rPr>
          <w:lang w:val="en-US"/>
        </w:rPr>
        <w:t>59,4</w:t>
      </w:r>
      <w:r w:rsidR="00EC0C6B" w:rsidRPr="00881C5F">
        <w:rPr>
          <w:lang w:val="en-US"/>
        </w:rPr>
        <w:t xml:space="preserve">% </w:t>
      </w:r>
      <w:r w:rsidR="00886DD0" w:rsidRPr="00881C5F">
        <w:rPr>
          <w:lang w:val="en-US"/>
        </w:rPr>
        <w:t>during</w:t>
      </w:r>
      <w:r w:rsidR="00EC0C6B" w:rsidRPr="00881C5F">
        <w:rPr>
          <w:lang w:val="en-US"/>
        </w:rPr>
        <w:t xml:space="preserve"> the first year of life. 2</w:t>
      </w:r>
      <w:r w:rsidR="00BF4C81" w:rsidRPr="00881C5F">
        <w:rPr>
          <w:lang w:val="en-US"/>
        </w:rPr>
        <w:t>8,1</w:t>
      </w:r>
      <w:r w:rsidR="00EC0C6B" w:rsidRPr="00881C5F">
        <w:rPr>
          <w:lang w:val="en-US"/>
        </w:rPr>
        <w:t xml:space="preserve">% were vaccinated </w:t>
      </w:r>
      <w:r w:rsidR="00736A13" w:rsidRPr="00881C5F">
        <w:rPr>
          <w:lang w:val="en-US"/>
        </w:rPr>
        <w:t xml:space="preserve">against </w:t>
      </w:r>
      <w:r w:rsidR="00736A13" w:rsidRPr="00881C5F">
        <w:rPr>
          <w:i/>
          <w:lang w:val="en-US"/>
        </w:rPr>
        <w:t>Streptococcus pneumoniae</w:t>
      </w:r>
      <w:r w:rsidR="00736A13" w:rsidRPr="00881C5F">
        <w:rPr>
          <w:lang w:val="en-US"/>
        </w:rPr>
        <w:t xml:space="preserve"> </w:t>
      </w:r>
      <w:r w:rsidR="00EC0C6B" w:rsidRPr="00881C5F">
        <w:rPr>
          <w:lang w:val="en-US"/>
        </w:rPr>
        <w:t xml:space="preserve">and there was an </w:t>
      </w:r>
      <w:r w:rsidR="00BF4C81" w:rsidRPr="00881C5F">
        <w:rPr>
          <w:lang w:val="en-US"/>
        </w:rPr>
        <w:t>identifiable risk factor in 15,6</w:t>
      </w:r>
      <w:r w:rsidR="00EC0C6B" w:rsidRPr="00881C5F">
        <w:rPr>
          <w:lang w:val="en-US"/>
        </w:rPr>
        <w:t>%. Males were the most affected. The main diagnosis was</w:t>
      </w:r>
      <w:r w:rsidR="00BF4C81" w:rsidRPr="00881C5F">
        <w:rPr>
          <w:lang w:val="en-US"/>
        </w:rPr>
        <w:t xml:space="preserve"> pneumonia with bacteremia (50</w:t>
      </w:r>
      <w:r w:rsidR="00F00EC7" w:rsidRPr="00881C5F">
        <w:rPr>
          <w:lang w:val="en-US"/>
        </w:rPr>
        <w:t>%). In 90,6</w:t>
      </w:r>
      <w:r w:rsidR="00EC0C6B" w:rsidRPr="00881C5F">
        <w:rPr>
          <w:lang w:val="en-US"/>
        </w:rPr>
        <w:t>% of the cases, the agent was f</w:t>
      </w:r>
      <w:r w:rsidR="00F00EC7" w:rsidRPr="00881C5F">
        <w:rPr>
          <w:lang w:val="en-US"/>
        </w:rPr>
        <w:t>ound in blood culture and in 9,4</w:t>
      </w:r>
      <w:r w:rsidR="00EC0C6B" w:rsidRPr="00881C5F">
        <w:rPr>
          <w:lang w:val="en-US"/>
        </w:rPr>
        <w:t>% both in blood and CSF culture. Antibioti</w:t>
      </w:r>
      <w:r w:rsidR="00886DD0" w:rsidRPr="00881C5F">
        <w:rPr>
          <w:lang w:val="en-US"/>
        </w:rPr>
        <w:t>c resistance rate was</w:t>
      </w:r>
      <w:r w:rsidR="00F00EC7" w:rsidRPr="00881C5F">
        <w:rPr>
          <w:lang w:val="en-US"/>
        </w:rPr>
        <w:t xml:space="preserve"> 15,6</w:t>
      </w:r>
      <w:r w:rsidR="00EC0C6B" w:rsidRPr="00881C5F">
        <w:rPr>
          <w:lang w:val="en-US"/>
        </w:rPr>
        <w:t xml:space="preserve">%. The most frequent serotype was 1, followed by 19A. </w:t>
      </w:r>
      <w:r w:rsidR="00F00EC7" w:rsidRPr="00881C5F">
        <w:rPr>
          <w:lang w:val="en-US"/>
        </w:rPr>
        <w:t>Eight</w:t>
      </w:r>
      <w:r w:rsidR="00EC0C6B" w:rsidRPr="00881C5F">
        <w:rPr>
          <w:lang w:val="en-US"/>
        </w:rPr>
        <w:t xml:space="preserve"> children had acute complications and two </w:t>
      </w:r>
      <w:r w:rsidR="00F00EC7" w:rsidRPr="00881C5F">
        <w:rPr>
          <w:lang w:val="en-US"/>
        </w:rPr>
        <w:t>undergo</w:t>
      </w:r>
      <w:r w:rsidR="00EC0C6B" w:rsidRPr="00881C5F">
        <w:rPr>
          <w:lang w:val="en-US"/>
        </w:rPr>
        <w:t xml:space="preserve"> sequels. No </w:t>
      </w:r>
      <w:r w:rsidR="00B078D1" w:rsidRPr="00881C5F">
        <w:rPr>
          <w:lang w:val="en-US"/>
        </w:rPr>
        <w:t>deaths</w:t>
      </w:r>
      <w:r w:rsidR="00EC0C6B" w:rsidRPr="00881C5F">
        <w:rPr>
          <w:lang w:val="en-US"/>
        </w:rPr>
        <w:t xml:space="preserve"> were registered. </w:t>
      </w:r>
    </w:p>
    <w:p w:rsidR="000E19AD" w:rsidRPr="003D5B29" w:rsidRDefault="000E19AD" w:rsidP="00881C5F">
      <w:pPr>
        <w:spacing w:line="480" w:lineRule="auto"/>
        <w:jc w:val="left"/>
        <w:rPr>
          <w:lang w:val="en-US"/>
        </w:rPr>
      </w:pPr>
    </w:p>
    <w:p w:rsidR="00C27E06" w:rsidRPr="000628AC" w:rsidRDefault="00C27E06" w:rsidP="00881C5F">
      <w:pPr>
        <w:spacing w:line="480" w:lineRule="auto"/>
        <w:jc w:val="left"/>
        <w:rPr>
          <w:color w:val="FF0000"/>
          <w:lang w:val="en-US"/>
        </w:rPr>
      </w:pPr>
      <w:r w:rsidRPr="003D5B29">
        <w:rPr>
          <w:u w:val="single"/>
          <w:lang w:val="en-US"/>
        </w:rPr>
        <w:t>Discussion</w:t>
      </w:r>
      <w:r w:rsidRPr="003D5B29">
        <w:rPr>
          <w:lang w:val="en-US"/>
        </w:rPr>
        <w:t xml:space="preserve">: </w:t>
      </w:r>
      <w:r w:rsidR="008409A0">
        <w:rPr>
          <w:lang w:val="en-US"/>
        </w:rPr>
        <w:t xml:space="preserve">The results obtained are concordant with available data. </w:t>
      </w:r>
      <w:r w:rsidR="00772A66" w:rsidRPr="00881C5F">
        <w:rPr>
          <w:lang w:val="en-US"/>
        </w:rPr>
        <w:t>Non-vaccine serotypes predominated in our stud</w:t>
      </w:r>
      <w:r w:rsidR="00772A66" w:rsidRPr="000B69EA">
        <w:rPr>
          <w:lang w:val="en-US"/>
        </w:rPr>
        <w:t xml:space="preserve">y. The identification of antibiotic resistance pattern and epidemiological characterization of the most frequent serotypes in Portugal are of special interest in the management of a child with IPD. </w:t>
      </w:r>
    </w:p>
    <w:p w:rsidR="005D2A48" w:rsidRPr="00881C5F" w:rsidRDefault="005D2A48" w:rsidP="00881C5F">
      <w:pPr>
        <w:spacing w:line="480" w:lineRule="auto"/>
        <w:jc w:val="left"/>
        <w:rPr>
          <w:lang w:val="en-US"/>
        </w:rPr>
      </w:pPr>
    </w:p>
    <w:p w:rsidR="00C27E06" w:rsidRPr="00881C5F" w:rsidRDefault="00C27E06" w:rsidP="00881C5F">
      <w:pPr>
        <w:spacing w:line="480" w:lineRule="auto"/>
        <w:jc w:val="left"/>
        <w:rPr>
          <w:lang w:val="en-US"/>
        </w:rPr>
      </w:pPr>
      <w:r w:rsidRPr="00881C5F">
        <w:rPr>
          <w:u w:val="single"/>
          <w:lang w:val="en-US"/>
        </w:rPr>
        <w:t>Key words</w:t>
      </w:r>
      <w:r w:rsidRPr="00881C5F">
        <w:rPr>
          <w:lang w:val="en-US"/>
        </w:rPr>
        <w:t>: invasive pneumococcal disease, risk groups, serotype, anti-pneumococcal vaccine, epidemiological vigilance</w:t>
      </w:r>
    </w:p>
    <w:p w:rsidR="00DD2F76" w:rsidRPr="00881C5F" w:rsidRDefault="00DD2F76" w:rsidP="00881C5F">
      <w:pPr>
        <w:spacing w:line="480" w:lineRule="auto"/>
        <w:jc w:val="left"/>
        <w:rPr>
          <w:b/>
          <w:lang w:val="en-US"/>
        </w:rPr>
      </w:pPr>
    </w:p>
    <w:p w:rsidR="000E19AD" w:rsidRPr="00881C5F" w:rsidRDefault="000E19AD" w:rsidP="00881C5F">
      <w:pPr>
        <w:tabs>
          <w:tab w:val="clear" w:pos="284"/>
        </w:tabs>
        <w:spacing w:line="480" w:lineRule="auto"/>
        <w:jc w:val="left"/>
        <w:rPr>
          <w:b/>
          <w:lang w:val="en-US"/>
        </w:rPr>
      </w:pPr>
      <w:r w:rsidRPr="00881C5F">
        <w:rPr>
          <w:b/>
          <w:lang w:val="en-US"/>
        </w:rPr>
        <w:br w:type="page"/>
      </w:r>
    </w:p>
    <w:p w:rsidR="00823539" w:rsidRPr="00881C5F" w:rsidRDefault="00D351D8" w:rsidP="00881C5F">
      <w:pPr>
        <w:spacing w:line="480" w:lineRule="auto"/>
        <w:jc w:val="left"/>
        <w:rPr>
          <w:b/>
        </w:rPr>
      </w:pPr>
      <w:r w:rsidRPr="00881C5F">
        <w:rPr>
          <w:b/>
        </w:rPr>
        <w:lastRenderedPageBreak/>
        <w:t xml:space="preserve">Introdução </w:t>
      </w:r>
    </w:p>
    <w:p w:rsidR="00694DF4" w:rsidRPr="00881C5F" w:rsidRDefault="00694DF4" w:rsidP="00881C5F">
      <w:pPr>
        <w:spacing w:line="480" w:lineRule="auto"/>
        <w:jc w:val="left"/>
        <w:rPr>
          <w:b/>
        </w:rPr>
      </w:pPr>
    </w:p>
    <w:p w:rsidR="00BA1A90" w:rsidRPr="00881C5F" w:rsidRDefault="00BA1A90" w:rsidP="00881C5F">
      <w:pPr>
        <w:spacing w:line="480" w:lineRule="auto"/>
        <w:jc w:val="left"/>
      </w:pPr>
      <w:r w:rsidRPr="00881C5F">
        <w:t xml:space="preserve">A doença pneumocócica </w:t>
      </w:r>
      <w:r w:rsidR="00F67D90" w:rsidRPr="00881C5F">
        <w:t xml:space="preserve">invasiva (DPI) </w:t>
      </w:r>
      <w:r w:rsidR="00886DD0" w:rsidRPr="00881C5F">
        <w:t>constitui</w:t>
      </w:r>
      <w:r w:rsidR="00F67D90" w:rsidRPr="00881C5F">
        <w:t xml:space="preserve"> uma importante</w:t>
      </w:r>
      <w:r w:rsidR="002F3243" w:rsidRPr="00881C5F">
        <w:t xml:space="preserve"> patologia em idade pediátrica, pela </w:t>
      </w:r>
      <w:r w:rsidR="00F67D90" w:rsidRPr="00881C5F">
        <w:t>morbilidade e mortalidade</w:t>
      </w:r>
      <w:r w:rsidR="00757636" w:rsidRPr="00881C5F">
        <w:t xml:space="preserve"> a ela associada</w:t>
      </w:r>
      <w:r w:rsidR="00B247EA" w:rsidRPr="00881C5F">
        <w:t>s</w:t>
      </w:r>
      <w:r w:rsidR="00757636" w:rsidRPr="00881C5F">
        <w:t xml:space="preserve">, </w:t>
      </w:r>
      <w:r w:rsidR="00886DD0" w:rsidRPr="00881C5F">
        <w:t>se</w:t>
      </w:r>
      <w:r w:rsidR="00757636" w:rsidRPr="00881C5F">
        <w:t>ndo</w:t>
      </w:r>
      <w:r w:rsidR="00F67D90" w:rsidRPr="00881C5F">
        <w:t xml:space="preserve"> a </w:t>
      </w:r>
      <w:r w:rsidRPr="00881C5F">
        <w:t xml:space="preserve">causa mais frequente de bacteriémia e pneumonia. Desde a introdução da vacina contra o </w:t>
      </w:r>
      <w:r w:rsidRPr="00881C5F">
        <w:rPr>
          <w:i/>
        </w:rPr>
        <w:t>Haemophilus influenza</w:t>
      </w:r>
      <w:r w:rsidRPr="00881C5F">
        <w:t xml:space="preserve"> tipo b, é também a segunda causa de meningite bacteriana </w:t>
      </w:r>
      <w:r w:rsidR="00B078D1" w:rsidRPr="00881C5F">
        <w:t>nesta faixa etária</w:t>
      </w:r>
      <w:r w:rsidR="00F67D90" w:rsidRPr="00881C5F">
        <w:t>.</w:t>
      </w:r>
      <w:r w:rsidR="00F67D90" w:rsidRPr="00881C5F">
        <w:rPr>
          <w:vertAlign w:val="superscript"/>
        </w:rPr>
        <w:t>1</w:t>
      </w:r>
    </w:p>
    <w:p w:rsidR="00D7795E" w:rsidRPr="00881C5F" w:rsidRDefault="0096708A" w:rsidP="00881C5F">
      <w:pPr>
        <w:spacing w:line="480" w:lineRule="auto"/>
        <w:jc w:val="left"/>
      </w:pPr>
      <w:r w:rsidRPr="00881C5F">
        <w:t>A Organização Mundial de Saúde (OMS</w:t>
      </w:r>
      <w:r w:rsidR="00085CA0" w:rsidRPr="00881C5F">
        <w:t>) estima que todos os anos morra</w:t>
      </w:r>
      <w:r w:rsidRPr="00881C5F">
        <w:t xml:space="preserve">m de </w:t>
      </w:r>
      <w:r w:rsidR="00085CA0" w:rsidRPr="00881C5F">
        <w:t>DPI</w:t>
      </w:r>
      <w:r w:rsidRPr="00881C5F">
        <w:t xml:space="preserve"> </w:t>
      </w:r>
      <w:r w:rsidR="00F277D2" w:rsidRPr="00881C5F">
        <w:t>700 000</w:t>
      </w:r>
      <w:r w:rsidRPr="00881C5F">
        <w:t xml:space="preserve"> a 1 milhão de crianças com menos de cinco anos de idade.</w:t>
      </w:r>
      <w:r w:rsidRPr="00881C5F">
        <w:rPr>
          <w:vertAlign w:val="superscript"/>
        </w:rPr>
        <w:t>2</w:t>
      </w:r>
      <w:r w:rsidR="00D7795E" w:rsidRPr="00881C5F">
        <w:t xml:space="preserve"> Estima-s</w:t>
      </w:r>
      <w:r w:rsidR="00085CA0" w:rsidRPr="00881C5F">
        <w:t>e que na Europa a incidência desta patologia</w:t>
      </w:r>
      <w:r w:rsidR="008A2D32" w:rsidRPr="00881C5F">
        <w:t xml:space="preserve"> varie entre 0,4 -</w:t>
      </w:r>
      <w:r w:rsidR="00D7795E" w:rsidRPr="00881C5F">
        <w:t xml:space="preserve"> 20/100 000.</w:t>
      </w:r>
      <w:r w:rsidR="00D7795E" w:rsidRPr="00881C5F">
        <w:rPr>
          <w:vertAlign w:val="superscript"/>
        </w:rPr>
        <w:t>3</w:t>
      </w:r>
      <w:r w:rsidR="00D7795E" w:rsidRPr="00881C5F">
        <w:rPr>
          <w:color w:val="FF0000"/>
        </w:rPr>
        <w:t xml:space="preserve"> </w:t>
      </w:r>
      <w:r w:rsidR="00D7795E" w:rsidRPr="00881C5F">
        <w:t xml:space="preserve"> </w:t>
      </w:r>
    </w:p>
    <w:p w:rsidR="0096708A" w:rsidRPr="00881C5F" w:rsidRDefault="00D351D8" w:rsidP="00881C5F">
      <w:pPr>
        <w:spacing w:line="480" w:lineRule="auto"/>
        <w:jc w:val="left"/>
      </w:pPr>
      <w:r w:rsidRPr="00881C5F">
        <w:t xml:space="preserve">O </w:t>
      </w:r>
      <w:r w:rsidR="00804348" w:rsidRPr="00881C5F">
        <w:t xml:space="preserve">agente responsável pela DPI é o </w:t>
      </w:r>
      <w:r w:rsidRPr="00881C5F">
        <w:rPr>
          <w:i/>
          <w:iCs/>
        </w:rPr>
        <w:t>Streptococcus pneumoniae</w:t>
      </w:r>
      <w:r w:rsidR="00A172B3" w:rsidRPr="00881C5F">
        <w:rPr>
          <w:i/>
          <w:iCs/>
        </w:rPr>
        <w:t xml:space="preserve">, </w:t>
      </w:r>
      <w:r w:rsidRPr="00881C5F">
        <w:t xml:space="preserve">um agente potencialmente patogénico que </w:t>
      </w:r>
      <w:r w:rsidR="00694DF4" w:rsidRPr="00881C5F">
        <w:rPr>
          <w:color w:val="231F20"/>
        </w:rPr>
        <w:t>coloniza a nasofaringe de indivíduos saudáveis (</w:t>
      </w:r>
      <w:r w:rsidR="00694DF4" w:rsidRPr="00881C5F">
        <w:rPr>
          <w:color w:val="231F20"/>
        </w:rPr>
        <w:sym w:font="Symbol" w:char="F0BB"/>
      </w:r>
      <w:r w:rsidR="00694DF4" w:rsidRPr="00881C5F">
        <w:rPr>
          <w:color w:val="231F20"/>
        </w:rPr>
        <w:t xml:space="preserve"> 50% crianças e </w:t>
      </w:r>
      <w:r w:rsidR="00694DF4" w:rsidRPr="00881C5F">
        <w:rPr>
          <w:color w:val="231F20"/>
        </w:rPr>
        <w:sym w:font="Symbol" w:char="F0BB"/>
      </w:r>
      <w:r w:rsidR="00C6064C" w:rsidRPr="00881C5F">
        <w:rPr>
          <w:color w:val="231F20"/>
        </w:rPr>
        <w:t xml:space="preserve"> 8% </w:t>
      </w:r>
      <w:r w:rsidR="00694DF4" w:rsidRPr="00881C5F">
        <w:rPr>
          <w:color w:val="231F20"/>
        </w:rPr>
        <w:t xml:space="preserve">adultos), podendo ser </w:t>
      </w:r>
      <w:r w:rsidR="00C6064C" w:rsidRPr="00881C5F">
        <w:t>assintomá</w:t>
      </w:r>
      <w:r w:rsidRPr="00881C5F">
        <w:t>tic</w:t>
      </w:r>
      <w:r w:rsidR="00C6064C" w:rsidRPr="00881C5F">
        <w:t>o</w:t>
      </w:r>
      <w:r w:rsidR="004728E8" w:rsidRPr="00881C5F">
        <w:t xml:space="preserve"> ou causar infecções invasivas/</w:t>
      </w:r>
      <w:r w:rsidR="00E91585">
        <w:t>não invasivas no ser humano</w:t>
      </w:r>
      <w:r w:rsidRPr="00881C5F">
        <w:t xml:space="preserve">. </w:t>
      </w:r>
      <w:r w:rsidR="00694DF4" w:rsidRPr="00881C5F">
        <w:rPr>
          <w:color w:val="231F20"/>
        </w:rPr>
        <w:t>A</w:t>
      </w:r>
      <w:r w:rsidR="00495F66" w:rsidRPr="00881C5F">
        <w:rPr>
          <w:color w:val="231F20"/>
        </w:rPr>
        <w:t xml:space="preserve"> transmissão ocorre</w:t>
      </w:r>
      <w:r w:rsidR="00E05D13" w:rsidRPr="00881C5F">
        <w:rPr>
          <w:color w:val="231F20"/>
        </w:rPr>
        <w:t xml:space="preserve"> </w:t>
      </w:r>
      <w:r w:rsidR="00495F66" w:rsidRPr="00881C5F">
        <w:rPr>
          <w:color w:val="231F20"/>
        </w:rPr>
        <w:t>através de gotículas de saliva, contacto oral directo,</w:t>
      </w:r>
      <w:r w:rsidR="00E05D13" w:rsidRPr="00881C5F">
        <w:rPr>
          <w:color w:val="231F20"/>
        </w:rPr>
        <w:t xml:space="preserve"> </w:t>
      </w:r>
      <w:r w:rsidR="00495F66" w:rsidRPr="00881C5F">
        <w:rPr>
          <w:color w:val="231F20"/>
        </w:rPr>
        <w:t xml:space="preserve">ou </w:t>
      </w:r>
      <w:r w:rsidR="00C6064C" w:rsidRPr="00881C5F">
        <w:rPr>
          <w:color w:val="231F20"/>
        </w:rPr>
        <w:t xml:space="preserve">de modo </w:t>
      </w:r>
      <w:r w:rsidR="00495F66" w:rsidRPr="00881C5F">
        <w:rPr>
          <w:color w:val="231F20"/>
        </w:rPr>
        <w:t>indirecto através de objectos contaminados.</w:t>
      </w:r>
      <w:r w:rsidR="00D7795E" w:rsidRPr="00881C5F">
        <w:rPr>
          <w:color w:val="231F20"/>
          <w:vertAlign w:val="superscript"/>
        </w:rPr>
        <w:t>4</w:t>
      </w:r>
      <w:r w:rsidR="00C8775D" w:rsidRPr="00881C5F">
        <w:t xml:space="preserve"> </w:t>
      </w:r>
      <w:r w:rsidR="00A172B3" w:rsidRPr="00881C5F">
        <w:t xml:space="preserve">Foram identificados cerca de </w:t>
      </w:r>
      <w:r w:rsidR="00C8775D" w:rsidRPr="00881C5F">
        <w:t>noventa</w:t>
      </w:r>
      <w:r w:rsidR="00A172B3" w:rsidRPr="00881C5F">
        <w:t xml:space="preserve"> serótipos do </w:t>
      </w:r>
      <w:r w:rsidR="00A172B3" w:rsidRPr="00881C5F">
        <w:rPr>
          <w:i/>
          <w:iCs/>
        </w:rPr>
        <w:t xml:space="preserve">Streptococcus pneumoniae, </w:t>
      </w:r>
      <w:r w:rsidR="00A172B3" w:rsidRPr="00881C5F">
        <w:rPr>
          <w:iCs/>
        </w:rPr>
        <w:t>com base na composição dos poliss</w:t>
      </w:r>
      <w:r w:rsidR="00C8775D" w:rsidRPr="00881C5F">
        <w:rPr>
          <w:iCs/>
        </w:rPr>
        <w:t>acarídeos capsulares</w:t>
      </w:r>
      <w:r w:rsidR="008E38A2" w:rsidRPr="00881C5F">
        <w:rPr>
          <w:iCs/>
        </w:rPr>
        <w:t>, os quais constituem um importante</w:t>
      </w:r>
      <w:r w:rsidR="007F19A8" w:rsidRPr="00881C5F">
        <w:rPr>
          <w:iCs/>
        </w:rPr>
        <w:t xml:space="preserve"> mecanismo de virulência.</w:t>
      </w:r>
      <w:r w:rsidR="00D7795E" w:rsidRPr="00881C5F">
        <w:rPr>
          <w:iCs/>
          <w:vertAlign w:val="superscript"/>
        </w:rPr>
        <w:t>5</w:t>
      </w:r>
    </w:p>
    <w:p w:rsidR="00B8783B" w:rsidRPr="00881C5F" w:rsidRDefault="00B8783B" w:rsidP="00881C5F">
      <w:pPr>
        <w:spacing w:line="480" w:lineRule="auto"/>
        <w:jc w:val="left"/>
      </w:pPr>
      <w:r w:rsidRPr="00881C5F">
        <w:t xml:space="preserve">A primeira vacina anti-pneumocócica comercializada no nosso país foi a </w:t>
      </w:r>
      <w:r w:rsidR="0049754E" w:rsidRPr="00881C5F">
        <w:t xml:space="preserve">vacina polissacárida </w:t>
      </w:r>
      <w:r w:rsidRPr="00881C5F">
        <w:t xml:space="preserve">23-valente (Pneumo23®), em 1985. A sua utilização destina-se a crianças com idade superior a </w:t>
      </w:r>
      <w:r w:rsidR="008343E9" w:rsidRPr="00881C5F">
        <w:t>dois</w:t>
      </w:r>
      <w:r w:rsidRPr="00881C5F">
        <w:t xml:space="preserve"> anos e, dado o seu mecanismo de acção ser a estimulação de resposta imunológica independente dos linfócitos T, não induz imunidade</w:t>
      </w:r>
      <w:r w:rsidR="008343E9" w:rsidRPr="00881C5F">
        <w:t xml:space="preserve"> em crianças com idade inferior </w:t>
      </w:r>
      <w:r w:rsidR="0049754E" w:rsidRPr="00881C5F">
        <w:t>e não diminui a prevalência de portadores.</w:t>
      </w:r>
      <w:r w:rsidR="009C5F10" w:rsidRPr="00881C5F">
        <w:rPr>
          <w:vertAlign w:val="superscript"/>
        </w:rPr>
        <w:t>6</w:t>
      </w:r>
    </w:p>
    <w:p w:rsidR="0049754E" w:rsidRPr="00881C5F" w:rsidRDefault="0049754E" w:rsidP="00881C5F">
      <w:pPr>
        <w:spacing w:line="480" w:lineRule="auto"/>
        <w:jc w:val="left"/>
      </w:pPr>
      <w:r w:rsidRPr="00881C5F">
        <w:t>A vacina heptavalente (Prevenar®)</w:t>
      </w:r>
      <w:r w:rsidR="00E3312A" w:rsidRPr="00881C5F">
        <w:t xml:space="preserve"> </w:t>
      </w:r>
      <w:r w:rsidR="004C7BBE" w:rsidRPr="00881C5F">
        <w:t>surgiu no ano 2001</w:t>
      </w:r>
      <w:r w:rsidR="00C84614" w:rsidRPr="00881C5F">
        <w:t xml:space="preserve"> e </w:t>
      </w:r>
      <w:r w:rsidR="00E3312A" w:rsidRPr="00881C5F">
        <w:t xml:space="preserve">engloba os serotipos 4, 6B, 9V, 14, 18C, 19F, 23F. </w:t>
      </w:r>
      <w:r w:rsidR="00C84614" w:rsidRPr="00881C5F">
        <w:t xml:space="preserve">Induz memória imunológica em crianças acima dos </w:t>
      </w:r>
      <w:r w:rsidR="00EF3CDD">
        <w:t>dois</w:t>
      </w:r>
      <w:r w:rsidR="00C84614" w:rsidRPr="00881C5F">
        <w:t xml:space="preserve"> meses e reduz a prevalência de portadores para serotipos vacinais. </w:t>
      </w:r>
      <w:r w:rsidRPr="00881C5F">
        <w:t xml:space="preserve">A </w:t>
      </w:r>
      <w:r w:rsidR="00886DD0" w:rsidRPr="00881C5F">
        <w:t xml:space="preserve">vacina </w:t>
      </w:r>
      <w:r w:rsidRPr="00881C5F">
        <w:t>decavalente (Synflorix®)</w:t>
      </w:r>
      <w:r w:rsidR="00996A41" w:rsidRPr="00881C5F">
        <w:t xml:space="preserve">, </w:t>
      </w:r>
      <w:r w:rsidR="00B12379" w:rsidRPr="00881C5F">
        <w:t xml:space="preserve">de </w:t>
      </w:r>
      <w:r w:rsidR="004728E8" w:rsidRPr="00881C5F">
        <w:lastRenderedPageBreak/>
        <w:t>características</w:t>
      </w:r>
      <w:r w:rsidR="00B12379" w:rsidRPr="00881C5F">
        <w:t xml:space="preserve"> sobreponíveis à anterior e </w:t>
      </w:r>
      <w:r w:rsidR="00996A41" w:rsidRPr="00881C5F">
        <w:t>disponível desde 2009</w:t>
      </w:r>
      <w:r w:rsidR="00B12379" w:rsidRPr="00881C5F">
        <w:t>, confere protecção adicional contra os serótipos 1, 5 e 7F.</w:t>
      </w:r>
      <w:r w:rsidR="00D86143" w:rsidRPr="00881C5F">
        <w:rPr>
          <w:vertAlign w:val="superscript"/>
        </w:rPr>
        <w:t>6</w:t>
      </w:r>
      <w:r w:rsidR="004C4C70" w:rsidRPr="00881C5F">
        <w:rPr>
          <w:vertAlign w:val="superscript"/>
        </w:rPr>
        <w:t>,7</w:t>
      </w:r>
    </w:p>
    <w:p w:rsidR="00B12379" w:rsidRPr="00881C5F" w:rsidRDefault="00E3312A" w:rsidP="00881C5F">
      <w:pPr>
        <w:spacing w:line="480" w:lineRule="auto"/>
        <w:jc w:val="left"/>
      </w:pPr>
      <w:r w:rsidRPr="00881C5F">
        <w:t xml:space="preserve">Disponível desde 2010, a vacina 13-valente </w:t>
      </w:r>
      <w:r w:rsidR="001A6409" w:rsidRPr="00881C5F">
        <w:t xml:space="preserve">(Prevenar13®) </w:t>
      </w:r>
      <w:r w:rsidRPr="00881C5F">
        <w:t>apresenta</w:t>
      </w:r>
      <w:r w:rsidR="00B12379" w:rsidRPr="00881C5F">
        <w:t xml:space="preserve">, relativamente à heptavalente, </w:t>
      </w:r>
      <w:r w:rsidRPr="00881C5F">
        <w:t xml:space="preserve">protecção </w:t>
      </w:r>
      <w:r w:rsidR="00B12379" w:rsidRPr="00881C5F">
        <w:t xml:space="preserve">adicional </w:t>
      </w:r>
      <w:r w:rsidRPr="00881C5F">
        <w:t xml:space="preserve">contra os serotipos </w:t>
      </w:r>
      <w:r w:rsidR="00B12379" w:rsidRPr="00881C5F">
        <w:t xml:space="preserve">1, </w:t>
      </w:r>
      <w:r w:rsidRPr="00881C5F">
        <w:t xml:space="preserve">3, </w:t>
      </w:r>
      <w:r w:rsidR="00B12379" w:rsidRPr="00881C5F">
        <w:t xml:space="preserve">5, </w:t>
      </w:r>
      <w:r w:rsidRPr="00881C5F">
        <w:t>6</w:t>
      </w:r>
      <w:r w:rsidR="00B12379" w:rsidRPr="00881C5F">
        <w:t xml:space="preserve">A, 7F </w:t>
      </w:r>
      <w:r w:rsidRPr="00881C5F">
        <w:t>e 19</w:t>
      </w:r>
      <w:r w:rsidR="00D86143" w:rsidRPr="00881C5F">
        <w:t>A; e</w:t>
      </w:r>
      <w:r w:rsidR="00B12379" w:rsidRPr="00881C5F">
        <w:t xml:space="preserve">stes serotipos adicionais são responsáveis por 63,4% dos casos de DIP em crianças abaixo dos </w:t>
      </w:r>
      <w:r w:rsidR="00EF3CDD">
        <w:t>cinco</w:t>
      </w:r>
      <w:r w:rsidR="00B12379" w:rsidRPr="00881C5F">
        <w:t xml:space="preserve"> anos. </w:t>
      </w:r>
      <w:r w:rsidR="00590871">
        <w:t>No nosso país, o</w:t>
      </w:r>
      <w:r w:rsidR="00D86143" w:rsidRPr="00881C5F">
        <w:t>s ser</w:t>
      </w:r>
      <w:r w:rsidR="004728E8" w:rsidRPr="00881C5F">
        <w:t>o</w:t>
      </w:r>
      <w:r w:rsidR="00D86143" w:rsidRPr="00881C5F">
        <w:t>tipos englobados na v</w:t>
      </w:r>
      <w:r w:rsidR="00B12379" w:rsidRPr="00881C5F">
        <w:t xml:space="preserve">acina 13-valente </w:t>
      </w:r>
      <w:r w:rsidR="00D86143" w:rsidRPr="00881C5F">
        <w:t>são responsáveis por</w:t>
      </w:r>
      <w:r w:rsidR="00B12379" w:rsidRPr="00881C5F">
        <w:t xml:space="preserve"> 76,7% </w:t>
      </w:r>
      <w:r w:rsidR="00D86143" w:rsidRPr="00881C5F">
        <w:t xml:space="preserve">dos casos de DIP </w:t>
      </w:r>
      <w:r w:rsidR="00EF3CDD">
        <w:t>abaixo dos dois</w:t>
      </w:r>
      <w:r w:rsidR="00B12379" w:rsidRPr="00881C5F">
        <w:t xml:space="preserve"> ano</w:t>
      </w:r>
      <w:r w:rsidR="00D86143" w:rsidRPr="00881C5F">
        <w:t>s e</w:t>
      </w:r>
      <w:r w:rsidR="00B12379" w:rsidRPr="00881C5F">
        <w:t xml:space="preserve"> 86,9% abaixo dos </w:t>
      </w:r>
      <w:r w:rsidR="00EF3CDD">
        <w:t>cinco</w:t>
      </w:r>
      <w:r w:rsidR="00B12379" w:rsidRPr="00881C5F">
        <w:t xml:space="preserve"> anos.</w:t>
      </w:r>
      <w:r w:rsidR="00C02F95" w:rsidRPr="00881C5F">
        <w:rPr>
          <w:vertAlign w:val="superscript"/>
        </w:rPr>
        <w:t xml:space="preserve"> </w:t>
      </w:r>
      <w:r w:rsidR="00B12379" w:rsidRPr="00881C5F">
        <w:t xml:space="preserve">Actualmente, os </w:t>
      </w:r>
      <w:r w:rsidR="00630497" w:rsidRPr="00881C5F">
        <w:t>sero</w:t>
      </w:r>
      <w:r w:rsidR="004728E8" w:rsidRPr="00881C5F">
        <w:t>tipos</w:t>
      </w:r>
      <w:r w:rsidR="00B12379" w:rsidRPr="00881C5F">
        <w:t xml:space="preserve"> 1, 7F e 19A </w:t>
      </w:r>
      <w:r w:rsidR="00B078D1" w:rsidRPr="00881C5F">
        <w:t>são os mais frequentemente envolvidos em casos de DPI</w:t>
      </w:r>
      <w:r w:rsidR="004C003A" w:rsidRPr="00881C5F">
        <w:t xml:space="preserve"> pediátrica</w:t>
      </w:r>
      <w:r w:rsidR="00C02F95" w:rsidRPr="00881C5F">
        <w:t xml:space="preserve"> em Portugal</w:t>
      </w:r>
      <w:r w:rsidR="00B12379" w:rsidRPr="00881C5F">
        <w:t>.</w:t>
      </w:r>
      <w:r w:rsidR="004C4C70" w:rsidRPr="00881C5F">
        <w:rPr>
          <w:vertAlign w:val="superscript"/>
        </w:rPr>
        <w:t>8</w:t>
      </w:r>
    </w:p>
    <w:p w:rsidR="00B8783B" w:rsidRPr="00881C5F" w:rsidRDefault="00B8783B" w:rsidP="00881C5F">
      <w:pPr>
        <w:spacing w:line="480" w:lineRule="auto"/>
        <w:jc w:val="left"/>
      </w:pPr>
      <w:r w:rsidRPr="00881C5F">
        <w:t xml:space="preserve">As taxas de cobertura vacinal são </w:t>
      </w:r>
      <w:r w:rsidR="004C003A" w:rsidRPr="00881C5F">
        <w:t>variáveis</w:t>
      </w:r>
      <w:r w:rsidRPr="00881C5F">
        <w:t xml:space="preserve">. Segundo dados oficiais, em países nos quais a vacina faz parte do Programa de Vacinação, as taxas </w:t>
      </w:r>
      <w:r w:rsidR="00B078D1" w:rsidRPr="00881C5F">
        <w:t>altern</w:t>
      </w:r>
      <w:r w:rsidRPr="00881C5F">
        <w:t>am entre 60% na França, 80% na Alemanha, 88% no Reino Un</w:t>
      </w:r>
      <w:r w:rsidR="004C003A" w:rsidRPr="00881C5F">
        <w:t>ido e 93% em Itália.</w:t>
      </w:r>
      <w:r w:rsidR="004C4C70" w:rsidRPr="00881C5F">
        <w:rPr>
          <w:vertAlign w:val="superscript"/>
        </w:rPr>
        <w:t>9</w:t>
      </w:r>
      <w:r w:rsidR="006E58DA" w:rsidRPr="00881C5F">
        <w:rPr>
          <w:vertAlign w:val="superscript"/>
        </w:rPr>
        <w:t>-1</w:t>
      </w:r>
      <w:r w:rsidR="004C4C70" w:rsidRPr="00881C5F">
        <w:rPr>
          <w:vertAlign w:val="superscript"/>
        </w:rPr>
        <w:t>3</w:t>
      </w:r>
    </w:p>
    <w:p w:rsidR="005D0E83" w:rsidRPr="00881C5F" w:rsidRDefault="005D0E83" w:rsidP="00881C5F">
      <w:pPr>
        <w:spacing w:line="480" w:lineRule="auto"/>
        <w:jc w:val="left"/>
      </w:pPr>
      <w:r w:rsidRPr="00881C5F">
        <w:t xml:space="preserve">Em Portugal, a vacina conjugada contra o </w:t>
      </w:r>
      <w:r w:rsidRPr="00881C5F">
        <w:rPr>
          <w:i/>
        </w:rPr>
        <w:t xml:space="preserve">Streptococcus pneumoniae </w:t>
      </w:r>
      <w:r w:rsidRPr="00881C5F">
        <w:t>não faz parte do P</w:t>
      </w:r>
      <w:r w:rsidR="00886DD0" w:rsidRPr="00881C5F">
        <w:t>lano</w:t>
      </w:r>
      <w:r w:rsidRPr="00881C5F">
        <w:t xml:space="preserve"> Nacional de Vacinação, estando disponível apenas mediante prescrição médica. </w:t>
      </w:r>
      <w:r w:rsidR="003918D5" w:rsidRPr="00881C5F">
        <w:t xml:space="preserve">A partir de </w:t>
      </w:r>
      <w:r w:rsidR="00B078D1" w:rsidRPr="00881C5F">
        <w:t>2010</w:t>
      </w:r>
      <w:r w:rsidR="003918D5" w:rsidRPr="00881C5F">
        <w:t xml:space="preserve"> passou a ser disponibilizada </w:t>
      </w:r>
      <w:r w:rsidR="00B078D1" w:rsidRPr="00881C5F">
        <w:t xml:space="preserve">gratuitamente </w:t>
      </w:r>
      <w:r w:rsidR="003918D5" w:rsidRPr="00881C5F">
        <w:t xml:space="preserve">aos grupos de risco. </w:t>
      </w:r>
    </w:p>
    <w:p w:rsidR="007E24C5" w:rsidRPr="00881C5F" w:rsidRDefault="007E24C5" w:rsidP="00881C5F">
      <w:pPr>
        <w:spacing w:line="480" w:lineRule="auto"/>
        <w:jc w:val="left"/>
      </w:pPr>
    </w:p>
    <w:p w:rsidR="007E24C5" w:rsidRPr="00881C5F" w:rsidRDefault="007E24C5" w:rsidP="00881C5F">
      <w:pPr>
        <w:tabs>
          <w:tab w:val="clear" w:pos="284"/>
        </w:tabs>
        <w:spacing w:line="480" w:lineRule="auto"/>
        <w:jc w:val="left"/>
      </w:pPr>
      <w:r w:rsidRPr="00881C5F">
        <w:br w:type="page"/>
      </w:r>
    </w:p>
    <w:p w:rsidR="00BA1A90" w:rsidRPr="00881C5F" w:rsidRDefault="00BA1A90" w:rsidP="00881C5F">
      <w:pPr>
        <w:spacing w:line="480" w:lineRule="auto"/>
        <w:jc w:val="left"/>
        <w:rPr>
          <w:b/>
        </w:rPr>
      </w:pPr>
      <w:r w:rsidRPr="00881C5F">
        <w:rPr>
          <w:b/>
        </w:rPr>
        <w:lastRenderedPageBreak/>
        <w:t>Objectivos</w:t>
      </w:r>
    </w:p>
    <w:p w:rsidR="00F954E5" w:rsidRPr="00881C5F" w:rsidRDefault="00F954E5" w:rsidP="00881C5F">
      <w:pPr>
        <w:spacing w:line="480" w:lineRule="auto"/>
        <w:jc w:val="left"/>
        <w:rPr>
          <w:b/>
        </w:rPr>
      </w:pPr>
    </w:p>
    <w:p w:rsidR="00BA1A90" w:rsidRPr="00881C5F" w:rsidRDefault="007C2E49" w:rsidP="00881C5F">
      <w:pPr>
        <w:spacing w:line="480" w:lineRule="auto"/>
        <w:jc w:val="left"/>
      </w:pPr>
      <w:r w:rsidRPr="00881C5F">
        <w:t>Conhecer a frequência de DPI na área de influência do Hospital de Vila Real</w:t>
      </w:r>
      <w:r w:rsidR="00454458" w:rsidRPr="00881C5F">
        <w:t>, no período compreendido entre 1 de Janeiro de 2000 e 31 de Dezembro de 201</w:t>
      </w:r>
      <w:r w:rsidR="00A4604B" w:rsidRPr="00881C5F">
        <w:t>2</w:t>
      </w:r>
      <w:r w:rsidRPr="00881C5F">
        <w:t>. Pretende</w:t>
      </w:r>
      <w:r w:rsidR="00454458" w:rsidRPr="00881C5F">
        <w:t>m</w:t>
      </w:r>
      <w:r w:rsidRPr="00881C5F">
        <w:t>-se identificar aspectos relacionados com a patologia</w:t>
      </w:r>
      <w:r w:rsidR="00454458" w:rsidRPr="00881C5F">
        <w:t xml:space="preserve"> </w:t>
      </w:r>
      <w:r w:rsidRPr="00881C5F">
        <w:t>e discutir o impacto da vacinação anti-pneumocócica</w:t>
      </w:r>
      <w:r w:rsidR="00454458" w:rsidRPr="00881C5F">
        <w:t xml:space="preserve"> na epidemiologia da DPI</w:t>
      </w:r>
      <w:r w:rsidRPr="00881C5F">
        <w:t>.</w:t>
      </w:r>
    </w:p>
    <w:p w:rsidR="007C2E49" w:rsidRPr="00881C5F" w:rsidRDefault="007C2E49" w:rsidP="00881C5F">
      <w:pPr>
        <w:spacing w:line="480" w:lineRule="auto"/>
        <w:jc w:val="left"/>
      </w:pPr>
    </w:p>
    <w:p w:rsidR="00F954E5" w:rsidRPr="00881C5F" w:rsidRDefault="00F954E5" w:rsidP="00881C5F">
      <w:pPr>
        <w:spacing w:line="480" w:lineRule="auto"/>
        <w:jc w:val="left"/>
      </w:pPr>
    </w:p>
    <w:p w:rsidR="00F954E5" w:rsidRPr="00881C5F" w:rsidRDefault="00F954E5" w:rsidP="00881C5F">
      <w:pPr>
        <w:spacing w:line="480" w:lineRule="auto"/>
        <w:jc w:val="left"/>
      </w:pPr>
    </w:p>
    <w:p w:rsidR="007C2E49" w:rsidRPr="00881C5F" w:rsidRDefault="00BA1A90" w:rsidP="00881C5F">
      <w:pPr>
        <w:spacing w:line="480" w:lineRule="auto"/>
        <w:jc w:val="left"/>
        <w:rPr>
          <w:b/>
        </w:rPr>
      </w:pPr>
      <w:r w:rsidRPr="00881C5F">
        <w:rPr>
          <w:b/>
        </w:rPr>
        <w:t>Material e métodos</w:t>
      </w:r>
    </w:p>
    <w:p w:rsidR="00F954E5" w:rsidRPr="00881C5F" w:rsidRDefault="00F954E5" w:rsidP="00881C5F">
      <w:pPr>
        <w:spacing w:line="480" w:lineRule="auto"/>
        <w:jc w:val="left"/>
      </w:pPr>
    </w:p>
    <w:p w:rsidR="00AF210A" w:rsidRPr="00881C5F" w:rsidRDefault="00AF210A" w:rsidP="00881C5F">
      <w:pPr>
        <w:spacing w:line="480" w:lineRule="auto"/>
        <w:jc w:val="left"/>
      </w:pPr>
      <w:r w:rsidRPr="00881C5F">
        <w:t xml:space="preserve">Procedeu-se à </w:t>
      </w:r>
      <w:r w:rsidR="007C2E49" w:rsidRPr="00881C5F">
        <w:t xml:space="preserve">análise retrospectiva dos processos de crianças </w:t>
      </w:r>
      <w:r w:rsidR="00454458" w:rsidRPr="00881C5F">
        <w:t xml:space="preserve">internadas no Serviço de Pediatria do CHTMAD – </w:t>
      </w:r>
      <w:r w:rsidRPr="00881C5F">
        <w:t xml:space="preserve">Unidade de </w:t>
      </w:r>
      <w:r w:rsidR="00454458" w:rsidRPr="00881C5F">
        <w:t xml:space="preserve">Vila Real </w:t>
      </w:r>
      <w:r w:rsidR="007C2E49" w:rsidRPr="00881C5F">
        <w:t xml:space="preserve">com </w:t>
      </w:r>
      <w:r w:rsidR="00454458" w:rsidRPr="00881C5F">
        <w:t xml:space="preserve">diagnóstico de </w:t>
      </w:r>
      <w:r w:rsidR="007C2E49" w:rsidRPr="00881C5F">
        <w:t>DPI</w:t>
      </w:r>
      <w:r w:rsidR="00454458" w:rsidRPr="00881C5F">
        <w:t>,</w:t>
      </w:r>
      <w:r w:rsidR="007C2E49" w:rsidRPr="00881C5F">
        <w:t xml:space="preserve"> no período compreendido entre 1 de Janeiro de 2000 e 31 de Dezembro de 201</w:t>
      </w:r>
      <w:r w:rsidR="00A4604B" w:rsidRPr="00881C5F">
        <w:t>2</w:t>
      </w:r>
      <w:r w:rsidR="007C2E49" w:rsidRPr="00881C5F">
        <w:t xml:space="preserve">. </w:t>
      </w:r>
    </w:p>
    <w:p w:rsidR="007C2E49" w:rsidRPr="00881C5F" w:rsidRDefault="007C2E49" w:rsidP="00881C5F">
      <w:pPr>
        <w:spacing w:line="480" w:lineRule="auto"/>
        <w:jc w:val="left"/>
      </w:pPr>
      <w:r w:rsidRPr="00881C5F">
        <w:t xml:space="preserve">O diagnóstico de DPI foi considerado perante obtenção de cultura positiva </w:t>
      </w:r>
      <w:r w:rsidR="00AF210A" w:rsidRPr="00881C5F">
        <w:t xml:space="preserve">para </w:t>
      </w:r>
      <w:r w:rsidR="00AF210A" w:rsidRPr="00881C5F">
        <w:rPr>
          <w:i/>
        </w:rPr>
        <w:t>Streptococcus pneumoniae</w:t>
      </w:r>
      <w:r w:rsidR="00AF210A" w:rsidRPr="00881C5F">
        <w:t xml:space="preserve"> </w:t>
      </w:r>
      <w:r w:rsidRPr="00881C5F">
        <w:t>em locais estéreis (sangue, l</w:t>
      </w:r>
      <w:r w:rsidR="00454458" w:rsidRPr="00881C5F">
        <w:t>í</w:t>
      </w:r>
      <w:r w:rsidRPr="00881C5F">
        <w:t>quido cefalorraquidiano, liquido pleural).</w:t>
      </w:r>
    </w:p>
    <w:p w:rsidR="007C2E49" w:rsidRPr="00881C5F" w:rsidRDefault="007C2E49" w:rsidP="00881C5F">
      <w:pPr>
        <w:spacing w:line="480" w:lineRule="auto"/>
        <w:jc w:val="left"/>
      </w:pPr>
      <w:r w:rsidRPr="00881C5F">
        <w:t xml:space="preserve">Foram analisadas as seguintes variáveis: idade, sexo, </w:t>
      </w:r>
      <w:r w:rsidR="00AF210A" w:rsidRPr="00881C5F">
        <w:t xml:space="preserve">raça, </w:t>
      </w:r>
      <w:r w:rsidR="00BA7E22" w:rsidRPr="00881C5F">
        <w:t xml:space="preserve">distribuição anual, </w:t>
      </w:r>
      <w:r w:rsidR="00AF210A" w:rsidRPr="00881C5F">
        <w:t xml:space="preserve">padrão sazonal, presença de </w:t>
      </w:r>
      <w:r w:rsidRPr="00881C5F">
        <w:t xml:space="preserve">factores de risco </w:t>
      </w:r>
      <w:r w:rsidR="00AF210A" w:rsidRPr="00881C5F">
        <w:t>para DPI</w:t>
      </w:r>
      <w:r w:rsidR="00AF210A" w:rsidRPr="00881C5F">
        <w:rPr>
          <w:vertAlign w:val="superscript"/>
        </w:rPr>
        <w:t>1</w:t>
      </w:r>
      <w:r w:rsidR="004C4C70" w:rsidRPr="00881C5F">
        <w:rPr>
          <w:vertAlign w:val="superscript"/>
        </w:rPr>
        <w:t>4</w:t>
      </w:r>
      <w:r w:rsidR="00AF210A" w:rsidRPr="00881C5F">
        <w:t xml:space="preserve"> </w:t>
      </w:r>
      <w:r w:rsidRPr="00881C5F">
        <w:t>(incluindo estado vacinal),</w:t>
      </w:r>
      <w:r w:rsidR="00D475EA" w:rsidRPr="00881C5F">
        <w:t xml:space="preserve"> avaliação dos grupos de risco,</w:t>
      </w:r>
      <w:r w:rsidRPr="00881C5F">
        <w:t xml:space="preserve"> </w:t>
      </w:r>
      <w:r w:rsidR="00454458" w:rsidRPr="00881C5F">
        <w:t xml:space="preserve">local de </w:t>
      </w:r>
      <w:r w:rsidRPr="00881C5F">
        <w:t xml:space="preserve">isolamento do </w:t>
      </w:r>
      <w:r w:rsidRPr="00881C5F">
        <w:rPr>
          <w:i/>
        </w:rPr>
        <w:t>Streptococcus pneumoniae</w:t>
      </w:r>
      <w:r w:rsidRPr="00881C5F">
        <w:t>,</w:t>
      </w:r>
      <w:r w:rsidRPr="00881C5F">
        <w:rPr>
          <w:i/>
        </w:rPr>
        <w:t xml:space="preserve"> </w:t>
      </w:r>
      <w:r w:rsidR="00454458" w:rsidRPr="00881C5F">
        <w:t>serótipo envolvido, diagnóstico, resistências</w:t>
      </w:r>
      <w:r w:rsidR="00114032" w:rsidRPr="00881C5F">
        <w:t xml:space="preserve"> antibióticas</w:t>
      </w:r>
      <w:r w:rsidR="00454458" w:rsidRPr="00881C5F">
        <w:t>, complicações</w:t>
      </w:r>
      <w:r w:rsidR="00D03D12" w:rsidRPr="00881C5F">
        <w:t xml:space="preserve"> precoces</w:t>
      </w:r>
      <w:r w:rsidR="00454458" w:rsidRPr="00881C5F">
        <w:t>,</w:t>
      </w:r>
      <w:r w:rsidRPr="00881C5F">
        <w:t xml:space="preserve"> evolução</w:t>
      </w:r>
      <w:r w:rsidR="00454458" w:rsidRPr="00881C5F">
        <w:t xml:space="preserve">, </w:t>
      </w:r>
      <w:r w:rsidR="00D03D12" w:rsidRPr="00881C5F">
        <w:t>tempo médio de internamento</w:t>
      </w:r>
      <w:r w:rsidR="00114032" w:rsidRPr="00881C5F">
        <w:t xml:space="preserve"> e mortalidade</w:t>
      </w:r>
      <w:r w:rsidRPr="00881C5F">
        <w:t>.</w:t>
      </w:r>
      <w:r w:rsidR="00C70988" w:rsidRPr="00881C5F">
        <w:t xml:space="preserve"> Foram ainda comparados os dados </w:t>
      </w:r>
      <w:r w:rsidR="00114032" w:rsidRPr="00881C5F">
        <w:t xml:space="preserve">obtidos </w:t>
      </w:r>
      <w:r w:rsidR="00C70988" w:rsidRPr="00881C5F">
        <w:t>com a taxa de cobertura vacinal da área de abrangência de Vila Real.</w:t>
      </w:r>
    </w:p>
    <w:p w:rsidR="00BA1A90" w:rsidRPr="00881C5F" w:rsidRDefault="00BA1A90" w:rsidP="00881C5F">
      <w:pPr>
        <w:spacing w:line="480" w:lineRule="auto"/>
        <w:jc w:val="left"/>
        <w:rPr>
          <w:b/>
        </w:rPr>
      </w:pPr>
    </w:p>
    <w:p w:rsidR="00F954E5" w:rsidRPr="00881C5F" w:rsidRDefault="00F954E5" w:rsidP="00881C5F">
      <w:pPr>
        <w:tabs>
          <w:tab w:val="clear" w:pos="284"/>
        </w:tabs>
        <w:spacing w:line="480" w:lineRule="auto"/>
        <w:jc w:val="left"/>
        <w:rPr>
          <w:b/>
        </w:rPr>
      </w:pPr>
      <w:r w:rsidRPr="00881C5F">
        <w:rPr>
          <w:b/>
        </w:rPr>
        <w:br w:type="page"/>
      </w:r>
    </w:p>
    <w:p w:rsidR="00BA1A90" w:rsidRPr="00881C5F" w:rsidRDefault="00BA1A90" w:rsidP="00881C5F">
      <w:pPr>
        <w:spacing w:line="480" w:lineRule="auto"/>
        <w:jc w:val="left"/>
        <w:rPr>
          <w:b/>
        </w:rPr>
      </w:pPr>
      <w:r w:rsidRPr="00881C5F">
        <w:rPr>
          <w:b/>
        </w:rPr>
        <w:lastRenderedPageBreak/>
        <w:t>Resultados</w:t>
      </w:r>
    </w:p>
    <w:p w:rsidR="005C7A7A" w:rsidRPr="00881C5F" w:rsidRDefault="005C7A7A" w:rsidP="00881C5F">
      <w:pPr>
        <w:spacing w:line="480" w:lineRule="auto"/>
        <w:jc w:val="left"/>
        <w:rPr>
          <w:b/>
        </w:rPr>
      </w:pPr>
    </w:p>
    <w:p w:rsidR="00BC2F62" w:rsidRPr="00881C5F" w:rsidRDefault="0021736D" w:rsidP="00881C5F">
      <w:pPr>
        <w:spacing w:line="480" w:lineRule="auto"/>
        <w:jc w:val="left"/>
      </w:pPr>
      <w:r w:rsidRPr="00881C5F">
        <w:t>No período analisado, foram diagnosticados 3</w:t>
      </w:r>
      <w:r w:rsidR="00A4604B" w:rsidRPr="00881C5F">
        <w:t>2</w:t>
      </w:r>
      <w:r w:rsidRPr="00881C5F">
        <w:t xml:space="preserve"> casos de DPI na á</w:t>
      </w:r>
      <w:r w:rsidR="00BC2F62" w:rsidRPr="00881C5F">
        <w:t>rea de influência de Vila Real.</w:t>
      </w:r>
    </w:p>
    <w:p w:rsidR="009F1DF2" w:rsidRPr="00881C5F" w:rsidRDefault="003767EA" w:rsidP="00881C5F">
      <w:pPr>
        <w:spacing w:line="480" w:lineRule="auto"/>
        <w:jc w:val="left"/>
      </w:pPr>
      <w:r w:rsidRPr="00881C5F">
        <w:t>Os anos de 2005 e 2007 foram os que registaram maior número de casos (n</w:t>
      </w:r>
      <w:r w:rsidR="00BC2F62" w:rsidRPr="00881C5F">
        <w:t>=</w:t>
      </w:r>
      <w:r w:rsidRPr="00881C5F">
        <w:t xml:space="preserve">6); nos anos de 2000, 2003 e 2010 não se verificaram casos de DPI. A partir de 2007, verifica-se uma tendência decrescente do número de casos, </w:t>
      </w:r>
      <w:r w:rsidR="00170CA6" w:rsidRPr="00881C5F">
        <w:t xml:space="preserve">com discreta inflexão no ano de 2011, em que se </w:t>
      </w:r>
      <w:r w:rsidR="00671832" w:rsidRPr="00881C5F">
        <w:t>registaram</w:t>
      </w:r>
      <w:r w:rsidR="00BC2F62" w:rsidRPr="00881C5F">
        <w:t xml:space="preserve"> </w:t>
      </w:r>
      <w:r w:rsidR="00EF3CDD">
        <w:t>dois</w:t>
      </w:r>
      <w:r w:rsidR="00BC2F62" w:rsidRPr="00881C5F">
        <w:t xml:space="preserve"> casos (Fig.</w:t>
      </w:r>
      <w:r w:rsidRPr="00881C5F">
        <w:t xml:space="preserve"> 1).</w:t>
      </w:r>
    </w:p>
    <w:p w:rsidR="003767EA" w:rsidRPr="00881C5F" w:rsidRDefault="00BB7016" w:rsidP="00881C5F">
      <w:pPr>
        <w:spacing w:line="480" w:lineRule="auto"/>
        <w:jc w:val="left"/>
      </w:pPr>
      <w:r w:rsidRPr="00881C5F">
        <w:t>Verificou-se um predomínio desta entidade clínica nos meses de Inverno (</w:t>
      </w:r>
      <w:r w:rsidR="005772C1" w:rsidRPr="00881C5F">
        <w:t>40,6</w:t>
      </w:r>
      <w:r w:rsidR="00584F2F" w:rsidRPr="00881C5F">
        <w:t>%</w:t>
      </w:r>
      <w:r w:rsidRPr="00881C5F">
        <w:t xml:space="preserve"> dos casos)</w:t>
      </w:r>
      <w:r w:rsidR="00584F2F" w:rsidRPr="00881C5F">
        <w:t>.</w:t>
      </w:r>
    </w:p>
    <w:p w:rsidR="00F378BB" w:rsidRPr="00881C5F" w:rsidRDefault="00BB7016" w:rsidP="00881C5F">
      <w:pPr>
        <w:spacing w:line="480" w:lineRule="auto"/>
        <w:jc w:val="left"/>
      </w:pPr>
      <w:r w:rsidRPr="00881C5F">
        <w:t>Todas as crianças pertenciam à raça caucasiana. O sexo masculino foi</w:t>
      </w:r>
      <w:r w:rsidR="004428C8" w:rsidRPr="00881C5F">
        <w:t xml:space="preserve"> o</w:t>
      </w:r>
      <w:r w:rsidRPr="00881C5F">
        <w:t xml:space="preserve"> mais afect</w:t>
      </w:r>
      <w:r w:rsidR="00C90CCC" w:rsidRPr="00881C5F">
        <w:t>ado</w:t>
      </w:r>
      <w:r w:rsidR="005772C1" w:rsidRPr="00881C5F">
        <w:t xml:space="preserve"> (68,8</w:t>
      </w:r>
      <w:r w:rsidR="004428C8" w:rsidRPr="00881C5F">
        <w:t>%</w:t>
      </w:r>
      <w:r w:rsidRPr="00881C5F">
        <w:t xml:space="preserve">). </w:t>
      </w:r>
    </w:p>
    <w:p w:rsidR="00596E65" w:rsidRPr="00881C5F" w:rsidRDefault="00BB7016" w:rsidP="00881C5F">
      <w:pPr>
        <w:spacing w:line="480" w:lineRule="auto"/>
        <w:jc w:val="left"/>
      </w:pPr>
      <w:r w:rsidRPr="00881C5F">
        <w:t xml:space="preserve">No que </w:t>
      </w:r>
      <w:r w:rsidR="00BC2F62" w:rsidRPr="00881C5F">
        <w:t>diz respeito</w:t>
      </w:r>
      <w:r w:rsidRPr="00881C5F">
        <w:t xml:space="preserve"> à distribuição por escalão etário, a</w:t>
      </w:r>
      <w:r w:rsidR="00BA7E22" w:rsidRPr="00881C5F">
        <w:t xml:space="preserve"> idade das crianças admitidas variou</w:t>
      </w:r>
      <w:r w:rsidRPr="00881C5F">
        <w:t xml:space="preserve"> entre 3 meses e 13 anos, com uma média de 35 meses e uma mediana de 11 meses.</w:t>
      </w:r>
      <w:r w:rsidR="007F6E5B" w:rsidRPr="00881C5F">
        <w:t xml:space="preserve"> </w:t>
      </w:r>
      <w:r w:rsidR="00D44612" w:rsidRPr="00881C5F">
        <w:t>59,4</w:t>
      </w:r>
      <w:r w:rsidR="007F6E5B" w:rsidRPr="00881C5F">
        <w:t xml:space="preserve">% </w:t>
      </w:r>
      <w:r w:rsidR="00F378BB" w:rsidRPr="00881C5F">
        <w:t xml:space="preserve">dos casos </w:t>
      </w:r>
      <w:r w:rsidR="000102EA" w:rsidRPr="00881C5F">
        <w:t>ocorreram no</w:t>
      </w:r>
      <w:r w:rsidR="00F378BB" w:rsidRPr="00881C5F">
        <w:t xml:space="preserve"> primeiro ano de vida, </w:t>
      </w:r>
      <w:r w:rsidR="00D44612" w:rsidRPr="00881C5F">
        <w:t>65,6</w:t>
      </w:r>
      <w:r w:rsidR="0030707F" w:rsidRPr="00881C5F">
        <w:t>% abaixo dos 2 anos e 81,3</w:t>
      </w:r>
      <w:r w:rsidR="00F378BB" w:rsidRPr="00881C5F">
        <w:t>% abaixo dos 5 anos.</w:t>
      </w:r>
    </w:p>
    <w:p w:rsidR="00433E4B" w:rsidRPr="00881C5F" w:rsidRDefault="00596E65" w:rsidP="00881C5F">
      <w:pPr>
        <w:spacing w:line="480" w:lineRule="auto"/>
        <w:jc w:val="left"/>
      </w:pPr>
      <w:r w:rsidRPr="00881C5F">
        <w:t>Quanto à presença de factores de risco para DPI</w:t>
      </w:r>
      <w:r w:rsidR="007F6E5B" w:rsidRPr="00881C5F">
        <w:t xml:space="preserve">, </w:t>
      </w:r>
      <w:r w:rsidR="0030707F" w:rsidRPr="00881C5F">
        <w:t>60</w:t>
      </w:r>
      <w:r w:rsidR="00584F2F" w:rsidRPr="00881C5F">
        <w:t>% das crianças tinham pelo menos um irmão</w:t>
      </w:r>
      <w:r w:rsidR="00C90CCC" w:rsidRPr="00881C5F">
        <w:t>; neste i</w:t>
      </w:r>
      <w:r w:rsidR="0030707F" w:rsidRPr="00881C5F">
        <w:t>ndicador foi considerado um n=30</w:t>
      </w:r>
      <w:r w:rsidR="00C90CCC" w:rsidRPr="00881C5F">
        <w:t>, uma vez que duas crianças pertenciam a famílias de acolhimento. Do total de casos registados, 4</w:t>
      </w:r>
      <w:r w:rsidR="0030707F" w:rsidRPr="00881C5F">
        <w:t>6,9</w:t>
      </w:r>
      <w:r w:rsidR="00584F2F" w:rsidRPr="00881C5F">
        <w:t>% beneficiara</w:t>
      </w:r>
      <w:r w:rsidR="00C90CCC" w:rsidRPr="00881C5F">
        <w:t>m</w:t>
      </w:r>
      <w:r w:rsidR="00584F2F" w:rsidRPr="00881C5F">
        <w:t xml:space="preserve"> </w:t>
      </w:r>
      <w:r w:rsidR="00C90CCC" w:rsidRPr="00881C5F">
        <w:t xml:space="preserve">de </w:t>
      </w:r>
      <w:r w:rsidR="00584F2F" w:rsidRPr="00881C5F">
        <w:t>um curto período de a</w:t>
      </w:r>
      <w:r w:rsidR="00BE7CAB" w:rsidRPr="00881C5F">
        <w:t xml:space="preserve">leitamento materno </w:t>
      </w:r>
      <w:r w:rsidR="00611DBC" w:rsidRPr="00881C5F">
        <w:t xml:space="preserve">(inferior a </w:t>
      </w:r>
      <w:r w:rsidR="00735242" w:rsidRPr="00881C5F">
        <w:t>quatro meses</w:t>
      </w:r>
      <w:r w:rsidR="0030707F" w:rsidRPr="00881C5F">
        <w:t>) e 53,1</w:t>
      </w:r>
      <w:r w:rsidR="00611DBC" w:rsidRPr="00881C5F">
        <w:t>% frequentavam i</w:t>
      </w:r>
      <w:r w:rsidR="00BE7CAB" w:rsidRPr="00881C5F">
        <w:t>nfantário</w:t>
      </w:r>
      <w:r w:rsidR="0030707F" w:rsidRPr="00881C5F">
        <w:t>/escola</w:t>
      </w:r>
      <w:r w:rsidR="00BE7CAB" w:rsidRPr="00881C5F">
        <w:t xml:space="preserve">. </w:t>
      </w:r>
      <w:r w:rsidR="0030707F" w:rsidRPr="00881C5F">
        <w:t>Dos 32 casos, 10 deles (31,2</w:t>
      </w:r>
      <w:r w:rsidR="00E460CE" w:rsidRPr="00881C5F">
        <w:t>%) tinham antecedentes de patologia respiratória no mês anterior à admissão, verificando-se a utilização de antibioterapia no mês prévio</w:t>
      </w:r>
      <w:r w:rsidR="0030707F" w:rsidRPr="00881C5F">
        <w:t xml:space="preserve"> em </w:t>
      </w:r>
      <w:r w:rsidR="00EF3CDD">
        <w:t>cinco</w:t>
      </w:r>
      <w:r w:rsidR="0030707F" w:rsidRPr="00881C5F">
        <w:t xml:space="preserve"> casos (15,6</w:t>
      </w:r>
      <w:r w:rsidR="00E460CE" w:rsidRPr="00881C5F">
        <w:t xml:space="preserve">%). </w:t>
      </w:r>
      <w:r w:rsidR="0030707F" w:rsidRPr="00881C5F">
        <w:t>Cinco crianças (15,6</w:t>
      </w:r>
      <w:r w:rsidR="00BE7CAB" w:rsidRPr="00881C5F">
        <w:t>%) pertenci</w:t>
      </w:r>
      <w:r w:rsidR="00C90CCC" w:rsidRPr="00881C5F">
        <w:t>am a grupos de risco para DPI</w:t>
      </w:r>
      <w:r w:rsidR="00D25ABF" w:rsidRPr="00881C5F">
        <w:rPr>
          <w:vertAlign w:val="superscript"/>
        </w:rPr>
        <w:t>1</w:t>
      </w:r>
      <w:r w:rsidR="004C4C70" w:rsidRPr="00881C5F">
        <w:rPr>
          <w:vertAlign w:val="superscript"/>
        </w:rPr>
        <w:t>5</w:t>
      </w:r>
      <w:r w:rsidR="001D7A7E" w:rsidRPr="00881C5F">
        <w:t xml:space="preserve">: </w:t>
      </w:r>
      <w:r w:rsidR="00C90CCC" w:rsidRPr="00881C5F">
        <w:t>duas crianças com doença pulmonar crónica, uma</w:t>
      </w:r>
      <w:r w:rsidR="00BE7CAB" w:rsidRPr="00881C5F">
        <w:t xml:space="preserve"> com imunodeficiência, </w:t>
      </w:r>
      <w:r w:rsidR="00E9110A" w:rsidRPr="00881C5F">
        <w:t>uma</w:t>
      </w:r>
      <w:r w:rsidR="001B74B8" w:rsidRPr="00881C5F">
        <w:t xml:space="preserve"> c</w:t>
      </w:r>
      <w:r w:rsidR="00E9110A" w:rsidRPr="00881C5F">
        <w:t>om síndrome polimalformativo e uma</w:t>
      </w:r>
      <w:r w:rsidR="001D7A7E" w:rsidRPr="00881C5F">
        <w:t xml:space="preserve"> com paralisia cerebral</w:t>
      </w:r>
      <w:r w:rsidR="00495481" w:rsidRPr="00881C5F">
        <w:t xml:space="preserve">. </w:t>
      </w:r>
      <w:r w:rsidR="008F14BA" w:rsidRPr="00881C5F">
        <w:t>28,1</w:t>
      </w:r>
      <w:r w:rsidR="00552D39" w:rsidRPr="00881C5F">
        <w:t>% das crianças (</w:t>
      </w:r>
      <w:r w:rsidR="00D475EA" w:rsidRPr="00881C5F">
        <w:t>n=</w:t>
      </w:r>
      <w:r w:rsidR="00552D39" w:rsidRPr="00881C5F">
        <w:t xml:space="preserve">9) </w:t>
      </w:r>
      <w:r w:rsidR="00552D39" w:rsidRPr="00881C5F">
        <w:lastRenderedPageBreak/>
        <w:t xml:space="preserve">apresentavam vacinação anti-pneumocócica: </w:t>
      </w:r>
      <w:r w:rsidR="00EF3CDD">
        <w:t>sete</w:t>
      </w:r>
      <w:r w:rsidR="00552D39" w:rsidRPr="00881C5F">
        <w:t xml:space="preserve"> com vacina heptavalente, </w:t>
      </w:r>
      <w:r w:rsidR="00EF3CDD">
        <w:t>uma</w:t>
      </w:r>
      <w:r w:rsidR="00552D39" w:rsidRPr="00881C5F">
        <w:t xml:space="preserve"> com vacina 13-valente e </w:t>
      </w:r>
      <w:r w:rsidR="00EF3CDD">
        <w:t>uma</w:t>
      </w:r>
      <w:r w:rsidR="00552D39" w:rsidRPr="00881C5F">
        <w:t xml:space="preserve"> com vacina 13-valente e 23-valente.</w:t>
      </w:r>
      <w:r w:rsidR="006E41A2" w:rsidRPr="00881C5F">
        <w:t xml:space="preserve"> </w:t>
      </w:r>
    </w:p>
    <w:p w:rsidR="00040E45" w:rsidRPr="00881C5F" w:rsidRDefault="00040E45" w:rsidP="00881C5F">
      <w:pPr>
        <w:spacing w:line="480" w:lineRule="auto"/>
        <w:jc w:val="left"/>
      </w:pPr>
      <w:r w:rsidRPr="00881C5F">
        <w:t xml:space="preserve">Relativamente </w:t>
      </w:r>
      <w:r w:rsidR="00E90B62" w:rsidRPr="00881C5F">
        <w:t>aos diagnósticos de DPI encontrados</w:t>
      </w:r>
      <w:r w:rsidRPr="00881C5F">
        <w:t xml:space="preserve">, verificou-se a existência de </w:t>
      </w:r>
      <w:r w:rsidR="00EF3CDD">
        <w:t>oito</w:t>
      </w:r>
      <w:r w:rsidR="008F35DD" w:rsidRPr="00881C5F">
        <w:t xml:space="preserve"> casos de sépsis com foco (</w:t>
      </w:r>
      <w:r w:rsidR="00EF3CDD">
        <w:t>cinco com quadro de</w:t>
      </w:r>
      <w:r w:rsidRPr="00881C5F">
        <w:t xml:space="preserve"> </w:t>
      </w:r>
      <w:r w:rsidR="008F35DD" w:rsidRPr="00881C5F">
        <w:t>pneumonia</w:t>
      </w:r>
      <w:r w:rsidR="00EF3CDD">
        <w:t xml:space="preserve"> e três com</w:t>
      </w:r>
      <w:r w:rsidR="008F35DD" w:rsidRPr="00881C5F">
        <w:t xml:space="preserve"> meningite) e</w:t>
      </w:r>
      <w:r w:rsidR="00EF3CDD">
        <w:t xml:space="preserve"> dois</w:t>
      </w:r>
      <w:r w:rsidRPr="00881C5F">
        <w:t xml:space="preserve"> casos de sépsis sem foco, </w:t>
      </w:r>
      <w:r w:rsidR="00EF3CDD">
        <w:t>três</w:t>
      </w:r>
      <w:r w:rsidRPr="00881C5F">
        <w:t xml:space="preserve"> casos de bacteriémia oculta</w:t>
      </w:r>
      <w:r w:rsidR="008F35DD" w:rsidRPr="00881C5F">
        <w:t xml:space="preserve"> e 18 casos de bacteriémia com foco (</w:t>
      </w:r>
      <w:r w:rsidR="008F14BA" w:rsidRPr="00881C5F">
        <w:t>16</w:t>
      </w:r>
      <w:r w:rsidRPr="00881C5F">
        <w:t xml:space="preserve"> pneum</w:t>
      </w:r>
      <w:r w:rsidR="008F35DD" w:rsidRPr="00881C5F">
        <w:t>onia</w:t>
      </w:r>
      <w:r w:rsidR="00EF3CDD">
        <w:t>, um de sinusite, um de osteomielite e um de</w:t>
      </w:r>
      <w:r w:rsidRPr="00881C5F">
        <w:t xml:space="preserve"> artrite do punho</w:t>
      </w:r>
      <w:r w:rsidR="008F35DD" w:rsidRPr="00881C5F">
        <w:t>)</w:t>
      </w:r>
      <w:r w:rsidRPr="00881C5F">
        <w:t xml:space="preserve">. </w:t>
      </w:r>
      <w:r w:rsidR="00560508" w:rsidRPr="00881C5F">
        <w:t>(Gráfico 2)</w:t>
      </w:r>
    </w:p>
    <w:p w:rsidR="00E90B62" w:rsidRPr="00881C5F" w:rsidRDefault="001B78D8" w:rsidP="00881C5F">
      <w:pPr>
        <w:spacing w:line="480" w:lineRule="auto"/>
        <w:jc w:val="left"/>
      </w:pPr>
      <w:r w:rsidRPr="00881C5F">
        <w:t xml:space="preserve">O </w:t>
      </w:r>
      <w:r w:rsidRPr="00881C5F">
        <w:rPr>
          <w:i/>
        </w:rPr>
        <w:t>Streptococcus pneumoniae</w:t>
      </w:r>
      <w:r w:rsidR="008F14BA" w:rsidRPr="00881C5F">
        <w:t xml:space="preserve"> foi isolado em 90,6</w:t>
      </w:r>
      <w:r w:rsidRPr="00881C5F">
        <w:t xml:space="preserve">% </w:t>
      </w:r>
      <w:r w:rsidR="007553AB" w:rsidRPr="00881C5F">
        <w:t xml:space="preserve">dos casos </w:t>
      </w:r>
      <w:r w:rsidR="008F14BA" w:rsidRPr="00881C5F">
        <w:t>(29</w:t>
      </w:r>
      <w:r w:rsidR="00E90B62" w:rsidRPr="00881C5F">
        <w:t xml:space="preserve"> casos) </w:t>
      </w:r>
      <w:r w:rsidRPr="00881C5F">
        <w:t xml:space="preserve">em hemocultura </w:t>
      </w:r>
      <w:r w:rsidR="008F14BA" w:rsidRPr="00881C5F">
        <w:t>e em 9,4</w:t>
      </w:r>
      <w:r w:rsidRPr="00881C5F">
        <w:t xml:space="preserve">% </w:t>
      </w:r>
      <w:r w:rsidR="007158BC" w:rsidRPr="00881C5F">
        <w:t>(</w:t>
      </w:r>
      <w:r w:rsidR="00EF3CDD">
        <w:t>três</w:t>
      </w:r>
      <w:r w:rsidR="007158BC" w:rsidRPr="00881C5F">
        <w:t xml:space="preserve"> casos) </w:t>
      </w:r>
      <w:r w:rsidRPr="00881C5F">
        <w:t xml:space="preserve">em hemocultura e cultura do líquor, simultaneamente. </w:t>
      </w:r>
    </w:p>
    <w:p w:rsidR="00D56713" w:rsidRPr="00881C5F" w:rsidRDefault="00A60444" w:rsidP="00881C5F">
      <w:pPr>
        <w:spacing w:line="480" w:lineRule="auto"/>
        <w:jc w:val="left"/>
      </w:pPr>
      <w:r w:rsidRPr="00881C5F">
        <w:t>Foi po</w:t>
      </w:r>
      <w:r w:rsidR="008F14BA" w:rsidRPr="00881C5F">
        <w:t xml:space="preserve">ssível obter a serotipagem em </w:t>
      </w:r>
      <w:r w:rsidR="00462E49" w:rsidRPr="00881C5F">
        <w:t>40,6% dos</w:t>
      </w:r>
      <w:r w:rsidRPr="00881C5F">
        <w:t xml:space="preserve"> casos</w:t>
      </w:r>
      <w:r w:rsidR="00462E49" w:rsidRPr="00881C5F">
        <w:t xml:space="preserve"> (13/32)</w:t>
      </w:r>
      <w:r w:rsidRPr="00881C5F">
        <w:t>; o serótipo mais frequentemente isolado foi o serótipo 1 (</w:t>
      </w:r>
      <w:r w:rsidR="00EF3CDD">
        <w:t>seis casos), seguido do 19A (três</w:t>
      </w:r>
      <w:r w:rsidRPr="00881C5F">
        <w:t xml:space="preserve"> casos</w:t>
      </w:r>
      <w:r w:rsidR="000443D8" w:rsidRPr="00881C5F">
        <w:t>)</w:t>
      </w:r>
      <w:r w:rsidRPr="00881C5F">
        <w:t>.</w:t>
      </w:r>
      <w:r w:rsidR="00C220E8" w:rsidRPr="00881C5F">
        <w:t xml:space="preserve"> </w:t>
      </w:r>
      <w:r w:rsidR="00D56713" w:rsidRPr="00881C5F">
        <w:t xml:space="preserve">Os </w:t>
      </w:r>
      <w:r w:rsidR="00462E49" w:rsidRPr="00881C5F">
        <w:t>seis</w:t>
      </w:r>
      <w:r w:rsidR="00D56713" w:rsidRPr="00881C5F">
        <w:t xml:space="preserve"> casos associados ao serotipo 1 corresponderam a quadros </w:t>
      </w:r>
      <w:r w:rsidR="007158BC" w:rsidRPr="00881C5F">
        <w:t xml:space="preserve">clínicos </w:t>
      </w:r>
      <w:r w:rsidR="004428C8" w:rsidRPr="00881C5F">
        <w:t>de pneumonia, enquanto os três</w:t>
      </w:r>
      <w:r w:rsidR="00D56713" w:rsidRPr="00881C5F">
        <w:t xml:space="preserve"> casos associados ao 19A relacionaram-se com clínica de sépsis e bacteriémia oculta. </w:t>
      </w:r>
    </w:p>
    <w:p w:rsidR="003767EA" w:rsidRPr="00881C5F" w:rsidRDefault="00B26B27" w:rsidP="00881C5F">
      <w:pPr>
        <w:spacing w:line="480" w:lineRule="auto"/>
        <w:jc w:val="left"/>
      </w:pPr>
      <w:r w:rsidRPr="00881C5F">
        <w:t>Os restantes serotipos isolados foram o 3, 14,</w:t>
      </w:r>
      <w:r w:rsidR="00D475EA" w:rsidRPr="00881C5F">
        <w:t xml:space="preserve"> 21 e 22F, correspondendo a</w:t>
      </w:r>
      <w:r w:rsidRPr="00881C5F">
        <w:t xml:space="preserve"> um caso cada. Ressalve-se que o serotipo 21 é não vacinal</w:t>
      </w:r>
      <w:r w:rsidR="00D56713" w:rsidRPr="00881C5F">
        <w:t xml:space="preserve">, tendo o isolamento sido efectuado em criança com vacinação conjugada 13-valente completa, </w:t>
      </w:r>
      <w:r w:rsidRPr="00881C5F">
        <w:t xml:space="preserve">e o </w:t>
      </w:r>
      <w:r w:rsidR="00D56713" w:rsidRPr="00881C5F">
        <w:t xml:space="preserve">serotipo </w:t>
      </w:r>
      <w:r w:rsidRPr="00881C5F">
        <w:t>22F apenas está contido na vacina 23-valente</w:t>
      </w:r>
      <w:r w:rsidR="00D56713" w:rsidRPr="00881C5F">
        <w:t>, tendo sido isolado em criança não vacinada</w:t>
      </w:r>
      <w:r w:rsidRPr="00881C5F">
        <w:t xml:space="preserve">. </w:t>
      </w:r>
    </w:p>
    <w:p w:rsidR="00412A5B" w:rsidRPr="00881C5F" w:rsidRDefault="00C220E8" w:rsidP="00881C5F">
      <w:pPr>
        <w:spacing w:line="480" w:lineRule="auto"/>
        <w:jc w:val="left"/>
      </w:pPr>
      <w:r w:rsidRPr="00881C5F">
        <w:t xml:space="preserve">A percentagem total de resistências </w:t>
      </w:r>
      <w:r w:rsidR="00367961" w:rsidRPr="00881C5F">
        <w:t>foi de 1</w:t>
      </w:r>
      <w:r w:rsidR="00003749" w:rsidRPr="00881C5F">
        <w:t>5,6%, sendo de 12,5</w:t>
      </w:r>
      <w:r w:rsidR="00367961" w:rsidRPr="00881C5F">
        <w:t xml:space="preserve">% </w:t>
      </w:r>
      <w:r w:rsidRPr="00881C5F">
        <w:t xml:space="preserve">aos macrólidos e </w:t>
      </w:r>
      <w:r w:rsidR="00367961" w:rsidRPr="00881C5F">
        <w:t>de 3,</w:t>
      </w:r>
      <w:r w:rsidR="00003749" w:rsidRPr="00881C5F">
        <w:t>1</w:t>
      </w:r>
      <w:r w:rsidR="00367961" w:rsidRPr="00881C5F">
        <w:t>% à penicilina</w:t>
      </w:r>
      <w:r w:rsidRPr="00881C5F">
        <w:t xml:space="preserve">. </w:t>
      </w:r>
      <w:r w:rsidR="00071BBB" w:rsidRPr="00881C5F">
        <w:t xml:space="preserve">Todas as estirpes eram sensíveis a cefalosporinas de 3ª geração. </w:t>
      </w:r>
    </w:p>
    <w:p w:rsidR="002D3301" w:rsidRPr="00881C5F" w:rsidRDefault="00AE4D24" w:rsidP="00881C5F">
      <w:pPr>
        <w:spacing w:line="480" w:lineRule="auto"/>
        <w:jc w:val="left"/>
      </w:pPr>
      <w:r w:rsidRPr="00881C5F">
        <w:t xml:space="preserve">Verificou-se a presença de complicações precoces em </w:t>
      </w:r>
      <w:r w:rsidR="00D475EA" w:rsidRPr="00881C5F">
        <w:t>25% dos</w:t>
      </w:r>
      <w:r w:rsidR="00071BBB" w:rsidRPr="00881C5F">
        <w:t xml:space="preserve"> casos</w:t>
      </w:r>
      <w:r w:rsidRPr="00881C5F">
        <w:t xml:space="preserve"> (</w:t>
      </w:r>
      <w:r w:rsidR="00D475EA" w:rsidRPr="00881C5F">
        <w:t>n=8</w:t>
      </w:r>
      <w:r w:rsidR="00003749" w:rsidRPr="00881C5F">
        <w:t>): quatro</w:t>
      </w:r>
      <w:r w:rsidRPr="00881C5F">
        <w:t xml:space="preserve"> cas</w:t>
      </w:r>
      <w:r w:rsidR="00003749" w:rsidRPr="00881C5F">
        <w:t>os de derrame pleural, um de empiema, um</w:t>
      </w:r>
      <w:r w:rsidRPr="00881C5F">
        <w:t xml:space="preserve"> de derrame subdural acompanhado de convulsões, </w:t>
      </w:r>
      <w:r w:rsidR="00003749" w:rsidRPr="00881C5F">
        <w:t>um</w:t>
      </w:r>
      <w:r w:rsidRPr="00881C5F">
        <w:t xml:space="preserve"> de insuficiência renal aguda e </w:t>
      </w:r>
      <w:r w:rsidR="00003749" w:rsidRPr="00881C5F">
        <w:t>um</w:t>
      </w:r>
      <w:r w:rsidRPr="00881C5F">
        <w:t xml:space="preserve"> de artrite do tornozelo</w:t>
      </w:r>
      <w:r w:rsidR="00071BBB" w:rsidRPr="00881C5F">
        <w:t xml:space="preserve"> (em lactente com meningite)</w:t>
      </w:r>
      <w:r w:rsidRPr="00881C5F">
        <w:t xml:space="preserve">. </w:t>
      </w:r>
    </w:p>
    <w:p w:rsidR="005269EA" w:rsidRPr="00881C5F" w:rsidRDefault="00AE4D24" w:rsidP="00881C5F">
      <w:pPr>
        <w:spacing w:line="480" w:lineRule="auto"/>
        <w:jc w:val="left"/>
      </w:pPr>
      <w:r w:rsidRPr="00881C5F">
        <w:t>Três crianças (9,7%) evoluíram com sequelas a longo prazo (</w:t>
      </w:r>
      <w:r w:rsidR="002D3301" w:rsidRPr="00881C5F">
        <w:t>uma</w:t>
      </w:r>
      <w:r w:rsidR="005269EA" w:rsidRPr="00881C5F">
        <w:t xml:space="preserve"> com atraso de desenvolvimento psicomotor e </w:t>
      </w:r>
      <w:r w:rsidR="002D3301" w:rsidRPr="00881C5F">
        <w:t>duas</w:t>
      </w:r>
      <w:r w:rsidR="005269EA" w:rsidRPr="00881C5F">
        <w:t xml:space="preserve"> com atraso de desenvolvimento psicomotor, epilepsia e surdez).</w:t>
      </w:r>
      <w:r w:rsidR="00412A5B" w:rsidRPr="00881C5F">
        <w:t xml:space="preserve"> </w:t>
      </w:r>
    </w:p>
    <w:p w:rsidR="008C068F" w:rsidRPr="00881C5F" w:rsidRDefault="00412A5B" w:rsidP="00881C5F">
      <w:pPr>
        <w:spacing w:line="480" w:lineRule="auto"/>
        <w:jc w:val="left"/>
      </w:pPr>
      <w:r w:rsidRPr="00881C5F">
        <w:t>O tempo m</w:t>
      </w:r>
      <w:r w:rsidR="008C068F" w:rsidRPr="00881C5F">
        <w:t>édio de internamento foi de 10,6</w:t>
      </w:r>
      <w:r w:rsidRPr="00881C5F">
        <w:t xml:space="preserve"> dias. </w:t>
      </w:r>
      <w:r w:rsidR="008C068F" w:rsidRPr="00881C5F">
        <w:t>Não se verificou mortalidade associada.</w:t>
      </w:r>
    </w:p>
    <w:p w:rsidR="00BA1A90" w:rsidRPr="00881C5F" w:rsidRDefault="00BA1A90" w:rsidP="00881C5F">
      <w:pPr>
        <w:spacing w:line="480" w:lineRule="auto"/>
        <w:jc w:val="left"/>
        <w:rPr>
          <w:b/>
        </w:rPr>
      </w:pPr>
      <w:r w:rsidRPr="00881C5F">
        <w:rPr>
          <w:b/>
        </w:rPr>
        <w:lastRenderedPageBreak/>
        <w:t>Discussão</w:t>
      </w:r>
    </w:p>
    <w:p w:rsidR="00ED34FB" w:rsidRPr="00881C5F" w:rsidRDefault="00ED34FB" w:rsidP="00881C5F">
      <w:pPr>
        <w:spacing w:line="480" w:lineRule="auto"/>
        <w:jc w:val="left"/>
        <w:rPr>
          <w:b/>
        </w:rPr>
      </w:pPr>
    </w:p>
    <w:p w:rsidR="00E34015" w:rsidRPr="00881C5F" w:rsidRDefault="00E34015" w:rsidP="00881C5F">
      <w:pPr>
        <w:spacing w:line="480" w:lineRule="auto"/>
        <w:jc w:val="left"/>
      </w:pPr>
      <w:r w:rsidRPr="00881C5F">
        <w:t xml:space="preserve">A DPI </w:t>
      </w:r>
      <w:r w:rsidR="004428C8" w:rsidRPr="00881C5F">
        <w:t>permanece</w:t>
      </w:r>
      <w:r w:rsidRPr="00881C5F">
        <w:t xml:space="preserve"> um importante problema </w:t>
      </w:r>
      <w:r w:rsidR="00103D5E" w:rsidRPr="00881C5F">
        <w:t>de saúde pública, apesar dos programas de vigilância e medidas implementadas</w:t>
      </w:r>
      <w:r w:rsidR="00F84B61" w:rsidRPr="00881C5F">
        <w:t>.</w:t>
      </w:r>
    </w:p>
    <w:p w:rsidR="00C76013" w:rsidRPr="00881C5F" w:rsidRDefault="00ED34FB" w:rsidP="00C76013">
      <w:pPr>
        <w:spacing w:line="480" w:lineRule="auto"/>
        <w:jc w:val="left"/>
      </w:pPr>
      <w:r w:rsidRPr="00881C5F">
        <w:t xml:space="preserve">Os resultados deste estudo </w:t>
      </w:r>
      <w:r w:rsidR="002C38A1" w:rsidRPr="00881C5F">
        <w:t xml:space="preserve">são concordantes com </w:t>
      </w:r>
      <w:r w:rsidRPr="00881C5F">
        <w:t>o</w:t>
      </w:r>
      <w:r w:rsidR="002C38A1" w:rsidRPr="00881C5F">
        <w:t xml:space="preserve">s dados nacionais disponíveis e </w:t>
      </w:r>
      <w:r w:rsidR="0013748A" w:rsidRPr="00881C5F">
        <w:t xml:space="preserve">com o </w:t>
      </w:r>
      <w:r w:rsidR="007A0AA2" w:rsidRPr="00881C5F">
        <w:t xml:space="preserve">descrito na </w:t>
      </w:r>
      <w:r w:rsidR="002C38A1" w:rsidRPr="00881C5F">
        <w:t>literatura</w:t>
      </w:r>
      <w:r w:rsidR="00C76013">
        <w:t xml:space="preserve"> e permitiram </w:t>
      </w:r>
      <w:r w:rsidR="00C76013" w:rsidRPr="00881C5F">
        <w:t>avaliar a realidade da DPI na área de influência do Hospital de Vila Real.</w:t>
      </w:r>
    </w:p>
    <w:p w:rsidR="001D6A87" w:rsidRPr="00881C5F" w:rsidRDefault="00E1256B" w:rsidP="00881C5F">
      <w:pPr>
        <w:spacing w:line="480" w:lineRule="auto"/>
        <w:jc w:val="left"/>
      </w:pPr>
      <w:r w:rsidRPr="000628AC">
        <w:t xml:space="preserve">De acordo com </w:t>
      </w:r>
      <w:r w:rsidR="0077045F" w:rsidRPr="000628AC">
        <w:t xml:space="preserve">os mesmos, a </w:t>
      </w:r>
      <w:r w:rsidRPr="000628AC">
        <w:t>incidência de DPI tem vindo a diminuir progressivamente</w:t>
      </w:r>
      <w:r w:rsidR="00CA04CE" w:rsidRPr="000628AC">
        <w:t>,</w:t>
      </w:r>
      <w:r w:rsidRPr="000628AC">
        <w:t xml:space="preserve"> </w:t>
      </w:r>
      <w:r w:rsidR="00CC3D8D" w:rsidRPr="000628AC">
        <w:t>o que se verificou n</w:t>
      </w:r>
      <w:r w:rsidR="00CF583E" w:rsidRPr="000628AC">
        <w:t>o nosso estudo</w:t>
      </w:r>
      <w:r w:rsidRPr="000628AC">
        <w:t>. Durante o período englobado, verificou-se</w:t>
      </w:r>
      <w:r w:rsidR="00E5112C" w:rsidRPr="000628AC">
        <w:t xml:space="preserve"> um predomínio nos meses frios </w:t>
      </w:r>
      <w:r w:rsidRPr="000628AC">
        <w:t>e em crianças</w:t>
      </w:r>
      <w:r w:rsidRPr="00881C5F">
        <w:t xml:space="preserve"> com menos de 2 anos</w:t>
      </w:r>
      <w:r w:rsidR="00E5112C" w:rsidRPr="00881C5F">
        <w:t xml:space="preserve">, o que corrobora </w:t>
      </w:r>
      <w:r w:rsidR="0013748A" w:rsidRPr="00881C5F">
        <w:t>os dados vigentes</w:t>
      </w:r>
      <w:r w:rsidRPr="00881C5F">
        <w:t>.</w:t>
      </w:r>
      <w:r w:rsidR="001D6A87" w:rsidRPr="00881C5F">
        <w:t xml:space="preserve"> No que diz respeito à presença de factores de risco</w:t>
      </w:r>
      <w:r w:rsidR="001D6A87" w:rsidRPr="000628AC">
        <w:t xml:space="preserve">, verificou-se </w:t>
      </w:r>
      <w:r w:rsidR="00CA04CE" w:rsidRPr="000628AC">
        <w:t>que somente ⅓ das crianças estariam vacinadas</w:t>
      </w:r>
      <w:r w:rsidR="001664A1">
        <w:t xml:space="preserve"> com vacina anti-pneumocócica. Quanto aos </w:t>
      </w:r>
      <w:r w:rsidR="00CA04CE" w:rsidRPr="000628AC">
        <w:t>restantes parâmetros</w:t>
      </w:r>
      <w:r w:rsidR="001664A1">
        <w:t>, a e</w:t>
      </w:r>
      <w:r w:rsidR="00CA04CE" w:rsidRPr="000628AC">
        <w:t>scassa relação observada na nossa casuística decorre provavelmente do reduzido número</w:t>
      </w:r>
      <w:r w:rsidR="00CA04CE" w:rsidRPr="00881C5F">
        <w:t xml:space="preserve"> de elementos da amostra.</w:t>
      </w:r>
      <w:r w:rsidR="00CA04CE">
        <w:t xml:space="preserve"> </w:t>
      </w:r>
      <w:r w:rsidR="002C38A1" w:rsidRPr="00881C5F">
        <w:t xml:space="preserve">Segundo </w:t>
      </w:r>
      <w:r w:rsidR="004D62A9" w:rsidRPr="00881C5F">
        <w:t>alguns</w:t>
      </w:r>
      <w:r w:rsidR="002C38A1" w:rsidRPr="00881C5F">
        <w:t xml:space="preserve"> autores, crianças com menos de 60 meses e que frequentem infantário durante quatro ou mais horas por dia têm um risco</w:t>
      </w:r>
      <w:r w:rsidR="004D62A9" w:rsidRPr="00881C5F">
        <w:t xml:space="preserve"> acrescido de DPI de duas a três vezes</w:t>
      </w:r>
      <w:r w:rsidR="002C38A1" w:rsidRPr="00881C5F">
        <w:t>.</w:t>
      </w:r>
      <w:r w:rsidR="002C38A1" w:rsidRPr="00881C5F">
        <w:rPr>
          <w:vertAlign w:val="superscript"/>
        </w:rPr>
        <w:t xml:space="preserve">16 </w:t>
      </w:r>
    </w:p>
    <w:p w:rsidR="00E1256B" w:rsidRPr="00881C5F" w:rsidRDefault="00CF56C1" w:rsidP="00881C5F">
      <w:pPr>
        <w:spacing w:line="480" w:lineRule="auto"/>
        <w:jc w:val="left"/>
      </w:pPr>
      <w:r w:rsidRPr="00881C5F">
        <w:t xml:space="preserve">Vários estudos e programas de vigilância epidemiológica têm sido implementados a nível nacional pela Sociedade de Infecciologia Pediátrica, permitindo um melhor conhecimento da realidade do nosso país no que concerne a esta patologia. </w:t>
      </w:r>
    </w:p>
    <w:p w:rsidR="00026889" w:rsidRPr="00CA04CE" w:rsidRDefault="00CF56C1" w:rsidP="00881C5F">
      <w:pPr>
        <w:spacing w:line="480" w:lineRule="auto"/>
        <w:jc w:val="left"/>
      </w:pPr>
      <w:r w:rsidRPr="00881C5F">
        <w:t>O primeiro deles correspondeu a um estudo retrospectivo (1991-2001)</w:t>
      </w:r>
      <w:r w:rsidR="00CF583E" w:rsidRPr="00881C5F">
        <w:rPr>
          <w:vertAlign w:val="superscript"/>
        </w:rPr>
        <w:t>17</w:t>
      </w:r>
      <w:r w:rsidRPr="00881C5F">
        <w:t xml:space="preserve">, onde </w:t>
      </w:r>
      <w:r w:rsidR="002F1C24" w:rsidRPr="00881C5F">
        <w:t>foi</w:t>
      </w:r>
      <w:r w:rsidRPr="00881C5F">
        <w:t xml:space="preserve"> estimada uma incidência de DPI de 32,9: 100000 crianças abaixo dos 2 anos. Este estudo permitiu um primeiro conhecimento acerca da </w:t>
      </w:r>
      <w:r w:rsidR="001841A2" w:rsidRPr="00881C5F">
        <w:t>epidemiologia d</w:t>
      </w:r>
      <w:r w:rsidR="001F51A4" w:rsidRPr="00881C5F">
        <w:t>a DPI</w:t>
      </w:r>
      <w:r w:rsidR="001841A2" w:rsidRPr="00881C5F">
        <w:t xml:space="preserve"> </w:t>
      </w:r>
      <w:r w:rsidR="00881E98" w:rsidRPr="00881C5F">
        <w:t>em Portugal</w:t>
      </w:r>
      <w:r w:rsidRPr="00881C5F">
        <w:t>. Posteriormente foi elaborado um estudo prospectivo</w:t>
      </w:r>
      <w:r w:rsidR="00EA32F4" w:rsidRPr="00881C5F">
        <w:rPr>
          <w:vertAlign w:val="superscript"/>
        </w:rPr>
        <w:t>18</w:t>
      </w:r>
      <w:r w:rsidRPr="00881C5F">
        <w:t xml:space="preserve"> de 2006-2008, que </w:t>
      </w:r>
      <w:r w:rsidR="002F1C24" w:rsidRPr="00881C5F">
        <w:t>aferiu</w:t>
      </w:r>
      <w:r w:rsidRPr="00881C5F">
        <w:t xml:space="preserve"> uma incidência de</w:t>
      </w:r>
      <w:r w:rsidR="001F51A4" w:rsidRPr="00881C5F">
        <w:t xml:space="preserve"> 30,4</w:t>
      </w:r>
      <w:r w:rsidRPr="00881C5F">
        <w:t>: 100 000, avaliando o escalão etário atrás referido</w:t>
      </w:r>
      <w:r w:rsidR="001F51A4" w:rsidRPr="00881C5F">
        <w:t xml:space="preserve">. </w:t>
      </w:r>
      <w:r w:rsidR="00026889" w:rsidRPr="00881C5F">
        <w:t>Entre 2008-2010</w:t>
      </w:r>
      <w:r w:rsidR="00CF583E" w:rsidRPr="00881C5F">
        <w:rPr>
          <w:vertAlign w:val="superscript"/>
        </w:rPr>
        <w:t>19</w:t>
      </w:r>
      <w:r w:rsidR="00026889" w:rsidRPr="00881C5F">
        <w:t xml:space="preserve">, </w:t>
      </w:r>
      <w:r w:rsidR="001841A2" w:rsidRPr="00881C5F">
        <w:t xml:space="preserve">a incidência foi de </w:t>
      </w:r>
      <w:r w:rsidR="00026889" w:rsidRPr="00881C5F">
        <w:t>30.6: 100000</w:t>
      </w:r>
      <w:r w:rsidR="001841A2" w:rsidRPr="00881C5F">
        <w:t xml:space="preserve">. </w:t>
      </w:r>
      <w:r w:rsidR="00026889" w:rsidRPr="00881C5F">
        <w:t>Os últimos dados publicados</w:t>
      </w:r>
      <w:r w:rsidR="00EA32F4" w:rsidRPr="00881C5F">
        <w:rPr>
          <w:vertAlign w:val="superscript"/>
        </w:rPr>
        <w:t>20</w:t>
      </w:r>
      <w:r w:rsidR="00026889" w:rsidRPr="00881C5F">
        <w:t xml:space="preserve">, referentes ao período 2010-2012, </w:t>
      </w:r>
      <w:r w:rsidR="001841A2" w:rsidRPr="00881C5F">
        <w:t xml:space="preserve">apuraram uma incidência de </w:t>
      </w:r>
      <w:r w:rsidR="00026889" w:rsidRPr="00881C5F">
        <w:lastRenderedPageBreak/>
        <w:t>20.9</w:t>
      </w:r>
      <w:r w:rsidR="001841A2" w:rsidRPr="00881C5F">
        <w:t>:</w:t>
      </w:r>
      <w:r w:rsidR="00026889" w:rsidRPr="00881C5F">
        <w:t>100000</w:t>
      </w:r>
      <w:r w:rsidR="00CA04CE">
        <w:t xml:space="preserve">. Esta evolução ao longo do tempo poderá estar relacionada </w:t>
      </w:r>
      <w:r w:rsidR="00815DBA">
        <w:t>com</w:t>
      </w:r>
      <w:r w:rsidR="00026889" w:rsidRPr="00CA04CE">
        <w:t xml:space="preserve"> </w:t>
      </w:r>
      <w:r w:rsidR="00EB1913" w:rsidRPr="00CA04CE">
        <w:t xml:space="preserve">uma maior sensibilização </w:t>
      </w:r>
      <w:r w:rsidR="001841A2" w:rsidRPr="00CA04CE">
        <w:t xml:space="preserve">para </w:t>
      </w:r>
      <w:r w:rsidR="00CA04CE" w:rsidRPr="00CA04CE">
        <w:t>o</w:t>
      </w:r>
      <w:r w:rsidR="001841A2" w:rsidRPr="00CA04CE">
        <w:t xml:space="preserve"> controlo epidemiológico desta patologia</w:t>
      </w:r>
      <w:r w:rsidR="00CA04CE" w:rsidRPr="00CA04CE">
        <w:t xml:space="preserve"> e para a vacinação anti-pneumocócica</w:t>
      </w:r>
      <w:r w:rsidR="00135D2B" w:rsidRPr="00CA04CE">
        <w:t>,</w:t>
      </w:r>
      <w:r w:rsidR="001841A2" w:rsidRPr="00CA04CE">
        <w:t xml:space="preserve"> bem como a existência de </w:t>
      </w:r>
      <w:r w:rsidR="00EB1913" w:rsidRPr="00CA04CE">
        <w:t>melhores métodos de dia</w:t>
      </w:r>
      <w:r w:rsidR="00881E98" w:rsidRPr="00CA04CE">
        <w:t>gnóstico</w:t>
      </w:r>
      <w:r w:rsidR="00EB1913" w:rsidRPr="00CA04CE">
        <w:t>.</w:t>
      </w:r>
    </w:p>
    <w:p w:rsidR="007A0AA2" w:rsidRPr="00881C5F" w:rsidRDefault="007A0AA2" w:rsidP="00881C5F">
      <w:pPr>
        <w:spacing w:line="480" w:lineRule="auto"/>
        <w:jc w:val="left"/>
      </w:pPr>
      <w:r w:rsidRPr="00881C5F">
        <w:t>A taxa de cobertura vacinal na área de influência do Hospital de Vila Real tem sofrido um aumento crescente ao longo dos anos, traduzindo a</w:t>
      </w:r>
      <w:r w:rsidR="001F51A4" w:rsidRPr="00881C5F">
        <w:t xml:space="preserve"> enorme motivação por parte dos </w:t>
      </w:r>
      <w:r w:rsidRPr="00881C5F">
        <w:t xml:space="preserve">profissionais de saúde e uma grande adesão por parte dos pais à vacinação. </w:t>
      </w:r>
      <w:r w:rsidR="002F1C24" w:rsidRPr="00881C5F">
        <w:t>(</w:t>
      </w:r>
      <w:r w:rsidR="00560508" w:rsidRPr="00881C5F">
        <w:t>Gráfico 3</w:t>
      </w:r>
      <w:r w:rsidR="002F1C24" w:rsidRPr="00881C5F">
        <w:t>)</w:t>
      </w:r>
    </w:p>
    <w:p w:rsidR="0039135A" w:rsidRPr="00881C5F" w:rsidRDefault="00D14226" w:rsidP="00881C5F">
      <w:pPr>
        <w:spacing w:line="480" w:lineRule="auto"/>
        <w:jc w:val="left"/>
      </w:pPr>
      <w:r w:rsidRPr="00881C5F">
        <w:t>À semelhança do verificado no nosso estudo, vários autores têm destacado a associação entre o serotipo 1 e cl</w:t>
      </w:r>
      <w:r w:rsidR="000B5D30" w:rsidRPr="00881C5F">
        <w:t>í</w:t>
      </w:r>
      <w:r w:rsidRPr="00881C5F">
        <w:t>nica de pneumonia com bacteriémia</w:t>
      </w:r>
      <w:r w:rsidR="00CF436C" w:rsidRPr="00881C5F">
        <w:t>, ocorrendo em crianças mais velhas</w:t>
      </w:r>
      <w:r w:rsidRPr="00881C5F">
        <w:t>; de igual modo, o ser</w:t>
      </w:r>
      <w:r w:rsidR="00881E98" w:rsidRPr="00881C5F">
        <w:t>o</w:t>
      </w:r>
      <w:r w:rsidRPr="00881C5F">
        <w:t>tipo 19A tem sido associado a maior frequência de bacteriémia oculta e quadros clínicos de sépsis</w:t>
      </w:r>
      <w:r w:rsidR="00CF436C" w:rsidRPr="00881C5F">
        <w:t xml:space="preserve">, geralmente em crianças com idade inferior a </w:t>
      </w:r>
      <w:r w:rsidR="0076208E">
        <w:t>dois</w:t>
      </w:r>
      <w:r w:rsidR="00CF436C" w:rsidRPr="00881C5F">
        <w:t xml:space="preserve"> anos</w:t>
      </w:r>
      <w:r w:rsidRPr="00881C5F">
        <w:t>.</w:t>
      </w:r>
      <w:r w:rsidR="004C4C70" w:rsidRPr="00881C5F">
        <w:rPr>
          <w:vertAlign w:val="superscript"/>
        </w:rPr>
        <w:t>8</w:t>
      </w:r>
      <w:r w:rsidRPr="00881C5F">
        <w:t xml:space="preserve"> O ser</w:t>
      </w:r>
      <w:r w:rsidR="00881E98" w:rsidRPr="00881C5F">
        <w:t>o</w:t>
      </w:r>
      <w:r w:rsidRPr="00881C5F">
        <w:t xml:space="preserve">tipo 19A foi aquele que mais frequentemente esteve associado a resistências antibióticas, facto já descrito </w:t>
      </w:r>
      <w:r w:rsidR="00634D14" w:rsidRPr="00881C5F">
        <w:t>na literatura</w:t>
      </w:r>
      <w:r w:rsidRPr="00881C5F">
        <w:t>.</w:t>
      </w:r>
      <w:r w:rsidR="004C4C70" w:rsidRPr="00881C5F">
        <w:rPr>
          <w:vertAlign w:val="superscript"/>
        </w:rPr>
        <w:t>8</w:t>
      </w:r>
      <w:r w:rsidR="00E1743B" w:rsidRPr="00881C5F">
        <w:rPr>
          <w:vertAlign w:val="superscript"/>
        </w:rPr>
        <w:t>,</w:t>
      </w:r>
      <w:r w:rsidR="00CF583E" w:rsidRPr="00881C5F">
        <w:rPr>
          <w:vertAlign w:val="superscript"/>
        </w:rPr>
        <w:t>21</w:t>
      </w:r>
    </w:p>
    <w:p w:rsidR="00D14226" w:rsidRPr="00881C5F" w:rsidRDefault="002B46D0" w:rsidP="00881C5F">
      <w:pPr>
        <w:spacing w:line="480" w:lineRule="auto"/>
        <w:jc w:val="left"/>
      </w:pPr>
      <w:r w:rsidRPr="00881C5F">
        <w:t>Verificámos ainda que os s</w:t>
      </w:r>
      <w:r w:rsidR="00771DA3" w:rsidRPr="00881C5F">
        <w:t xml:space="preserve">erotipos </w:t>
      </w:r>
      <w:r w:rsidR="003459D2" w:rsidRPr="00881C5F">
        <w:t>com maior frequência de isolamento em cultura</w:t>
      </w:r>
      <w:r w:rsidR="00771DA3" w:rsidRPr="00881C5F">
        <w:t xml:space="preserve"> são os mais prevalentes em Portugal.</w:t>
      </w:r>
      <w:r w:rsidR="00634D14" w:rsidRPr="00881C5F">
        <w:t xml:space="preserve"> </w:t>
      </w:r>
      <w:r w:rsidR="001F51A4" w:rsidRPr="00881C5F">
        <w:t>Não obtivemos</w:t>
      </w:r>
      <w:r w:rsidR="00540080" w:rsidRPr="00881C5F">
        <w:t xml:space="preserve"> casos de DPI por serotipos v</w:t>
      </w:r>
      <w:r w:rsidR="001F51A4" w:rsidRPr="00881C5F">
        <w:t xml:space="preserve">acinais em crianças </w:t>
      </w:r>
      <w:r w:rsidR="00634D14" w:rsidRPr="00881C5F">
        <w:t>com vacina anti-pneumocó</w:t>
      </w:r>
      <w:r w:rsidR="00881E98" w:rsidRPr="00881C5F">
        <w:t>cica</w:t>
      </w:r>
      <w:r w:rsidR="001F51A4" w:rsidRPr="00881C5F">
        <w:t>, o que</w:t>
      </w:r>
      <w:r w:rsidR="00881E98" w:rsidRPr="00881C5F">
        <w:t xml:space="preserve"> parece</w:t>
      </w:r>
      <w:r w:rsidR="001F51A4" w:rsidRPr="00881C5F">
        <w:t xml:space="preserve"> atesta</w:t>
      </w:r>
      <w:r w:rsidR="00881E98" w:rsidRPr="00881C5F">
        <w:t>r</w:t>
      </w:r>
      <w:r w:rsidR="001F51A4" w:rsidRPr="00881C5F">
        <w:t xml:space="preserve"> a </w:t>
      </w:r>
      <w:r w:rsidR="00540080" w:rsidRPr="00881C5F">
        <w:t>eficácia e segurança da vacina</w:t>
      </w:r>
      <w:r w:rsidR="001F51A4" w:rsidRPr="00881C5F">
        <w:t>.</w:t>
      </w:r>
    </w:p>
    <w:p w:rsidR="000628AC" w:rsidRPr="000628AC" w:rsidRDefault="00DF54C5" w:rsidP="00881C5F">
      <w:pPr>
        <w:spacing w:line="480" w:lineRule="auto"/>
        <w:jc w:val="left"/>
      </w:pPr>
      <w:r w:rsidRPr="000628AC">
        <w:t xml:space="preserve">A </w:t>
      </w:r>
      <w:r w:rsidR="003459D2" w:rsidRPr="000628AC">
        <w:t xml:space="preserve">existência de </w:t>
      </w:r>
      <w:r w:rsidRPr="000628AC">
        <w:t xml:space="preserve">fenómenos de </w:t>
      </w:r>
      <w:r w:rsidRPr="000628AC">
        <w:rPr>
          <w:i/>
        </w:rPr>
        <w:t>switc</w:t>
      </w:r>
      <w:r w:rsidR="003459D2" w:rsidRPr="000628AC">
        <w:rPr>
          <w:i/>
        </w:rPr>
        <w:t>h,</w:t>
      </w:r>
      <w:r w:rsidRPr="000628AC">
        <w:t xml:space="preserve"> </w:t>
      </w:r>
      <w:r w:rsidR="007A3CF2" w:rsidRPr="000628AC">
        <w:t xml:space="preserve">que consistem na </w:t>
      </w:r>
      <w:r w:rsidRPr="000628AC">
        <w:t>substituição d</w:t>
      </w:r>
      <w:r w:rsidR="007A3CF2" w:rsidRPr="000628AC">
        <w:t>e</w:t>
      </w:r>
      <w:r w:rsidRPr="000628AC">
        <w:t xml:space="preserve"> </w:t>
      </w:r>
      <w:r w:rsidR="007A3CF2" w:rsidRPr="000628AC">
        <w:t>serotipos</w:t>
      </w:r>
      <w:r w:rsidRPr="000628AC">
        <w:t xml:space="preserve"> vaci</w:t>
      </w:r>
      <w:r w:rsidR="007A3CF2" w:rsidRPr="000628AC">
        <w:t>nais por sero</w:t>
      </w:r>
      <w:r w:rsidRPr="000628AC">
        <w:t>tipos não-vacinais tanto em contexto de colonização como de patologia</w:t>
      </w:r>
      <w:r w:rsidR="004A14BC" w:rsidRPr="000628AC">
        <w:t>, con</w:t>
      </w:r>
      <w:r w:rsidR="00634D14" w:rsidRPr="000628AC">
        <w:t>s</w:t>
      </w:r>
      <w:r w:rsidR="004A14BC" w:rsidRPr="000628AC">
        <w:t xml:space="preserve">tituem um problema com o qual os </w:t>
      </w:r>
      <w:r w:rsidR="000628AC" w:rsidRPr="000628AC">
        <w:t>profissionais de saúde</w:t>
      </w:r>
      <w:r w:rsidR="004A14BC" w:rsidRPr="000628AC">
        <w:t xml:space="preserve"> têm de</w:t>
      </w:r>
      <w:r w:rsidR="000628AC" w:rsidRPr="000628AC">
        <w:t xml:space="preserve"> se</w:t>
      </w:r>
      <w:r w:rsidR="004A14BC" w:rsidRPr="000628AC">
        <w:t xml:space="preserve"> debater</w:t>
      </w:r>
      <w:r w:rsidR="000628AC" w:rsidRPr="000628AC">
        <w:t>.</w:t>
      </w:r>
      <w:r w:rsidR="000628AC" w:rsidRPr="000628AC">
        <w:rPr>
          <w:vertAlign w:val="superscript"/>
        </w:rPr>
        <w:t xml:space="preserve"> 22</w:t>
      </w:r>
    </w:p>
    <w:p w:rsidR="00DF54C5" w:rsidRPr="000628AC" w:rsidRDefault="000628AC" w:rsidP="00881C5F">
      <w:pPr>
        <w:spacing w:line="480" w:lineRule="auto"/>
        <w:jc w:val="left"/>
      </w:pPr>
      <w:r w:rsidRPr="000628AC">
        <w:t xml:space="preserve">É ainda de realçar a </w:t>
      </w:r>
      <w:r w:rsidR="00DF54C5" w:rsidRPr="000628AC">
        <w:t>necessidade de</w:t>
      </w:r>
      <w:r w:rsidR="004A14BC" w:rsidRPr="000628AC">
        <w:t xml:space="preserve"> uma</w:t>
      </w:r>
      <w:r w:rsidR="00DF54C5" w:rsidRPr="000628AC">
        <w:t xml:space="preserve"> prescrição antibiótica criteriosa</w:t>
      </w:r>
      <w:r w:rsidR="00F43068" w:rsidRPr="000628AC">
        <w:t xml:space="preserve">, </w:t>
      </w:r>
      <w:r w:rsidR="00DF54C5" w:rsidRPr="000628AC">
        <w:t xml:space="preserve">de modo a minimizar a emergência de resistências, </w:t>
      </w:r>
      <w:r w:rsidR="00322120" w:rsidRPr="000628AC">
        <w:t>as quais</w:t>
      </w:r>
      <w:r w:rsidR="00DF54C5" w:rsidRPr="000628AC">
        <w:t xml:space="preserve"> majora</w:t>
      </w:r>
      <w:r w:rsidR="00322120" w:rsidRPr="000628AC">
        <w:t>m</w:t>
      </w:r>
      <w:r w:rsidR="00DF54C5" w:rsidRPr="000628AC">
        <w:t xml:space="preserve"> possíve</w:t>
      </w:r>
      <w:r w:rsidR="004A14BC" w:rsidRPr="000628AC">
        <w:t>is</w:t>
      </w:r>
      <w:r w:rsidR="00DF54C5" w:rsidRPr="000628AC">
        <w:t xml:space="preserve"> falência</w:t>
      </w:r>
      <w:r w:rsidR="004A14BC" w:rsidRPr="000628AC">
        <w:t>s</w:t>
      </w:r>
      <w:r w:rsidR="00DF54C5" w:rsidRPr="000628AC">
        <w:t xml:space="preserve"> terapêutica</w:t>
      </w:r>
      <w:r w:rsidR="004A14BC" w:rsidRPr="000628AC">
        <w:t>s</w:t>
      </w:r>
      <w:r w:rsidR="00DF54C5" w:rsidRPr="000628AC">
        <w:t>.</w:t>
      </w:r>
      <w:r w:rsidR="004A14BC" w:rsidRPr="000628AC">
        <w:rPr>
          <w:vertAlign w:val="superscript"/>
        </w:rPr>
        <w:t>22</w:t>
      </w:r>
    </w:p>
    <w:p w:rsidR="008823F9" w:rsidRPr="00881C5F" w:rsidRDefault="00575BCF" w:rsidP="00881C5F">
      <w:pPr>
        <w:spacing w:line="480" w:lineRule="auto"/>
        <w:jc w:val="left"/>
        <w:rPr>
          <w:color w:val="00B050"/>
        </w:rPr>
      </w:pPr>
      <w:r w:rsidRPr="00881C5F">
        <w:t>Apesar dos</w:t>
      </w:r>
      <w:r w:rsidR="002F7F05" w:rsidRPr="00881C5F">
        <w:t xml:space="preserve"> estudos de vigilância epidemiológica </w:t>
      </w:r>
      <w:r w:rsidR="009753BC" w:rsidRPr="00881C5F">
        <w:t>realizados</w:t>
      </w:r>
      <w:r w:rsidR="002F7F05" w:rsidRPr="00881C5F">
        <w:t>, a t</w:t>
      </w:r>
      <w:r w:rsidR="004C691F" w:rsidRPr="00881C5F">
        <w:t>axa</w:t>
      </w:r>
      <w:r w:rsidR="002F7F05" w:rsidRPr="00881C5F">
        <w:t xml:space="preserve"> real de </w:t>
      </w:r>
      <w:r w:rsidR="009753BC" w:rsidRPr="00881C5F">
        <w:t>incidência</w:t>
      </w:r>
      <w:r w:rsidR="002F7F05" w:rsidRPr="00881C5F">
        <w:t xml:space="preserve"> de DPI</w:t>
      </w:r>
      <w:r w:rsidR="009753BC" w:rsidRPr="00881C5F">
        <w:t xml:space="preserve"> </w:t>
      </w:r>
      <w:r w:rsidR="002F7F05" w:rsidRPr="00881C5F">
        <w:t xml:space="preserve">permanece desconhecida. </w:t>
      </w:r>
      <w:r w:rsidRPr="00881C5F">
        <w:t xml:space="preserve">Novos estudos para averiguar fenómenos de </w:t>
      </w:r>
      <w:r w:rsidRPr="00881C5F">
        <w:rPr>
          <w:i/>
        </w:rPr>
        <w:t>switch</w:t>
      </w:r>
      <w:r w:rsidRPr="00881C5F">
        <w:t xml:space="preserve"> e posterior adequação vacinal consoante serótipos preponderantes serão necessários. </w:t>
      </w:r>
    </w:p>
    <w:p w:rsidR="002F7F05" w:rsidRPr="00881C5F" w:rsidRDefault="0002223F" w:rsidP="00881C5F">
      <w:pPr>
        <w:spacing w:line="480" w:lineRule="auto"/>
        <w:jc w:val="left"/>
      </w:pPr>
      <w:r w:rsidRPr="00881C5F">
        <w:t>Os autores defendem que a</w:t>
      </w:r>
      <w:r w:rsidR="000B5D30" w:rsidRPr="00881C5F">
        <w:t xml:space="preserve"> inclusão da vacina anti-pneumocócica no P</w:t>
      </w:r>
      <w:r w:rsidR="00634D14" w:rsidRPr="00881C5F">
        <w:t>rograma</w:t>
      </w:r>
      <w:r w:rsidR="000B5D30" w:rsidRPr="00881C5F">
        <w:t xml:space="preserve"> Nacional de Vacinação seria fundamental </w:t>
      </w:r>
      <w:r w:rsidR="00575BCF" w:rsidRPr="00881C5F">
        <w:t>par</w:t>
      </w:r>
      <w:r w:rsidR="000B5D30" w:rsidRPr="00881C5F">
        <w:t xml:space="preserve">a um melhor controlo da patologia e uma redução das taxas </w:t>
      </w:r>
      <w:r w:rsidR="000B5D30" w:rsidRPr="00881C5F">
        <w:lastRenderedPageBreak/>
        <w:t>de incidência vigentes.</w:t>
      </w:r>
      <w:r w:rsidR="001A26DF">
        <w:t xml:space="preserve"> O recente estabelecimento</w:t>
      </w:r>
      <w:r w:rsidR="003603FF" w:rsidRPr="00881C5F">
        <w:t xml:space="preserve"> </w:t>
      </w:r>
      <w:r w:rsidR="002F7F05" w:rsidRPr="00881C5F">
        <w:t xml:space="preserve">da DPI como doença de declaração obrigatória </w:t>
      </w:r>
      <w:r w:rsidR="001A26DF">
        <w:t xml:space="preserve">constitui </w:t>
      </w:r>
      <w:r w:rsidR="00D91456">
        <w:t>um</w:t>
      </w:r>
      <w:r w:rsidR="002F7F05" w:rsidRPr="00881C5F">
        <w:t xml:space="preserve"> passo </w:t>
      </w:r>
      <w:r w:rsidR="00D91456">
        <w:t xml:space="preserve">fundamental </w:t>
      </w:r>
      <w:r w:rsidR="002F7F05" w:rsidRPr="00881C5F">
        <w:t>para uma melhor vigilância epidemiológica no nosso país, de modo a</w:t>
      </w:r>
      <w:r w:rsidR="00C76013">
        <w:t xml:space="preserve"> obter </w:t>
      </w:r>
      <w:r w:rsidR="002F7F05" w:rsidRPr="00881C5F">
        <w:t>um conhecimento mais aprofundado da incidência e prevalência desta patologia.</w:t>
      </w:r>
    </w:p>
    <w:p w:rsidR="002F7F05" w:rsidRPr="00881C5F" w:rsidRDefault="002F7F05" w:rsidP="00881C5F">
      <w:pPr>
        <w:spacing w:line="480" w:lineRule="auto"/>
        <w:jc w:val="left"/>
        <w:rPr>
          <w:color w:val="00B050"/>
        </w:rPr>
      </w:pPr>
    </w:p>
    <w:p w:rsidR="00634D14" w:rsidRPr="00881C5F" w:rsidRDefault="00634D14" w:rsidP="00881C5F">
      <w:pPr>
        <w:spacing w:line="480" w:lineRule="auto"/>
        <w:jc w:val="left"/>
        <w:rPr>
          <w:b/>
        </w:rPr>
      </w:pPr>
    </w:p>
    <w:p w:rsidR="00BA1A90" w:rsidRPr="00881C5F" w:rsidRDefault="00BA1A90" w:rsidP="00881C5F">
      <w:pPr>
        <w:spacing w:line="480" w:lineRule="auto"/>
        <w:jc w:val="left"/>
        <w:rPr>
          <w:b/>
        </w:rPr>
      </w:pPr>
      <w:r w:rsidRPr="00881C5F">
        <w:rPr>
          <w:b/>
        </w:rPr>
        <w:t>Agradecimentos</w:t>
      </w:r>
    </w:p>
    <w:p w:rsidR="00E34015" w:rsidRPr="00881C5F" w:rsidRDefault="00E34015" w:rsidP="00881C5F">
      <w:pPr>
        <w:spacing w:line="480" w:lineRule="auto"/>
        <w:jc w:val="left"/>
        <w:rPr>
          <w:b/>
        </w:rPr>
      </w:pPr>
    </w:p>
    <w:p w:rsidR="00BA1A90" w:rsidRPr="00881C5F" w:rsidRDefault="001C1374" w:rsidP="00881C5F">
      <w:pPr>
        <w:spacing w:line="480" w:lineRule="auto"/>
        <w:jc w:val="left"/>
      </w:pPr>
      <w:r w:rsidRPr="00881C5F">
        <w:t xml:space="preserve">- </w:t>
      </w:r>
      <w:r w:rsidR="00857DD7" w:rsidRPr="00881C5F">
        <w:t>À D</w:t>
      </w:r>
      <w:r w:rsidR="00EB65F6" w:rsidRPr="00881C5F">
        <w:t xml:space="preserve">r.ª Cristina Sousa (Unidade de </w:t>
      </w:r>
      <w:r w:rsidR="00857DD7" w:rsidRPr="00881C5F">
        <w:t xml:space="preserve">Saúde Pública de Vila Real), </w:t>
      </w:r>
      <w:r w:rsidR="00104F55" w:rsidRPr="00881C5F">
        <w:t xml:space="preserve">pela disponibilização dos dados </w:t>
      </w:r>
      <w:r w:rsidR="00166B03" w:rsidRPr="00881C5F">
        <w:t xml:space="preserve">epidemiológicos </w:t>
      </w:r>
      <w:r w:rsidR="00104F55" w:rsidRPr="00881C5F">
        <w:t>do módulo vacinal SINUS.</w:t>
      </w:r>
    </w:p>
    <w:p w:rsidR="00E34015" w:rsidRPr="00881C5F" w:rsidRDefault="00E34015" w:rsidP="00881C5F">
      <w:pPr>
        <w:spacing w:line="480" w:lineRule="auto"/>
        <w:jc w:val="left"/>
      </w:pPr>
    </w:p>
    <w:p w:rsidR="00D351D8" w:rsidRPr="00881C5F" w:rsidRDefault="001C1374" w:rsidP="00881C5F">
      <w:pPr>
        <w:spacing w:line="480" w:lineRule="auto"/>
        <w:jc w:val="left"/>
      </w:pPr>
      <w:r w:rsidRPr="00881C5F">
        <w:t xml:space="preserve">- </w:t>
      </w:r>
      <w:r w:rsidR="00104F55" w:rsidRPr="00881C5F">
        <w:t xml:space="preserve">À Dr.ª Manuela Caniça, do Instituto Nacional de Saúde Dr. Ricardo Jorge, </w:t>
      </w:r>
      <w:r w:rsidR="004E4DE3" w:rsidRPr="00881C5F">
        <w:t xml:space="preserve">e ao Professor Dr. Melo-Cristino, do Instituto de Microbiologia da Faculdade de Medicina de Lisboa, </w:t>
      </w:r>
      <w:r w:rsidR="00104F55" w:rsidRPr="00881C5F">
        <w:t>pe</w:t>
      </w:r>
      <w:r w:rsidRPr="00881C5F">
        <w:t>la serotipagem do</w:t>
      </w:r>
      <w:r w:rsidR="00104F55" w:rsidRPr="00881C5F">
        <w:t xml:space="preserve"> </w:t>
      </w:r>
      <w:r w:rsidR="00104F55" w:rsidRPr="00881C5F">
        <w:rPr>
          <w:i/>
        </w:rPr>
        <w:t>Streptococcus pneumoniae</w:t>
      </w:r>
      <w:r w:rsidR="00104F55" w:rsidRPr="00881C5F">
        <w:t>.</w:t>
      </w:r>
    </w:p>
    <w:p w:rsidR="00DD2F76" w:rsidRPr="00881C5F" w:rsidRDefault="00DD2F76" w:rsidP="00881C5F">
      <w:pPr>
        <w:spacing w:line="480" w:lineRule="auto"/>
        <w:jc w:val="left"/>
      </w:pPr>
    </w:p>
    <w:p w:rsidR="001C1374" w:rsidRPr="00881C5F" w:rsidRDefault="001C1374" w:rsidP="00881C5F">
      <w:pPr>
        <w:tabs>
          <w:tab w:val="clear" w:pos="284"/>
        </w:tabs>
        <w:spacing w:line="480" w:lineRule="auto"/>
        <w:jc w:val="left"/>
        <w:rPr>
          <w:b/>
        </w:rPr>
      </w:pPr>
      <w:r w:rsidRPr="00881C5F">
        <w:rPr>
          <w:b/>
        </w:rPr>
        <w:br w:type="page"/>
      </w:r>
    </w:p>
    <w:p w:rsidR="00DD2F76" w:rsidRPr="00881C5F" w:rsidRDefault="00DD2F76" w:rsidP="00881C5F">
      <w:pPr>
        <w:spacing w:line="480" w:lineRule="auto"/>
        <w:jc w:val="left"/>
        <w:rPr>
          <w:b/>
        </w:rPr>
      </w:pPr>
      <w:r w:rsidRPr="00881C5F">
        <w:rPr>
          <w:b/>
        </w:rPr>
        <w:lastRenderedPageBreak/>
        <w:t>Bibliografia</w:t>
      </w:r>
    </w:p>
    <w:p w:rsidR="00DD2F76" w:rsidRPr="00881C5F" w:rsidRDefault="00DD2F76" w:rsidP="00881C5F">
      <w:pPr>
        <w:spacing w:line="480" w:lineRule="auto"/>
        <w:jc w:val="left"/>
      </w:pPr>
    </w:p>
    <w:p w:rsidR="00DD2F76" w:rsidRPr="00881C5F" w:rsidRDefault="001F44F0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t xml:space="preserve">O´Brien KL, Wolfson LJ, Watt JP, Henkle E, Deloria-Knoll M, McCall N </w:t>
      </w:r>
      <w:r w:rsidRPr="00881C5F">
        <w:rPr>
          <w:i/>
        </w:rPr>
        <w:t>et al</w:t>
      </w:r>
      <w:r w:rsidRPr="00881C5F">
        <w:t xml:space="preserve">. </w:t>
      </w:r>
      <w:r w:rsidRPr="00881C5F">
        <w:rPr>
          <w:lang w:val="en-US"/>
        </w:rPr>
        <w:t xml:space="preserve">Burden of disease caused by </w:t>
      </w:r>
      <w:r w:rsidRPr="00881C5F">
        <w:rPr>
          <w:i/>
          <w:lang w:val="en-US"/>
        </w:rPr>
        <w:t>Streptococcus pneumoniae</w:t>
      </w:r>
      <w:r w:rsidRPr="00881C5F">
        <w:rPr>
          <w:lang w:val="en-US"/>
        </w:rPr>
        <w:t xml:space="preserve"> </w:t>
      </w:r>
      <w:r w:rsidR="005E5133" w:rsidRPr="00881C5F">
        <w:rPr>
          <w:lang w:val="en-US"/>
        </w:rPr>
        <w:t xml:space="preserve">in children younger than 5 years: global estimates. </w:t>
      </w:r>
      <w:r w:rsidR="005E5133" w:rsidRPr="00881C5F">
        <w:rPr>
          <w:i/>
          <w:lang w:val="en-US"/>
        </w:rPr>
        <w:t>Lancet</w:t>
      </w:r>
      <w:r w:rsidR="005E5133" w:rsidRPr="00881C5F">
        <w:rPr>
          <w:lang w:val="en-US"/>
        </w:rPr>
        <w:t xml:space="preserve"> 2009. 374: 893-902 </w:t>
      </w:r>
    </w:p>
    <w:p w:rsidR="0096708A" w:rsidRPr="00881C5F" w:rsidRDefault="0096708A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rPr>
          <w:lang w:val="en-US"/>
        </w:rPr>
        <w:t xml:space="preserve">WHO. </w:t>
      </w:r>
      <w:r w:rsidRPr="00881C5F">
        <w:rPr>
          <w:i/>
          <w:lang w:val="en-US"/>
        </w:rPr>
        <w:t>Pneumococcal Conjugate Vaccine for childhood immunization</w:t>
      </w:r>
      <w:r w:rsidRPr="00881C5F">
        <w:rPr>
          <w:lang w:val="en-US"/>
        </w:rPr>
        <w:t>. WHO position paper. Weekly</w:t>
      </w:r>
      <w:r w:rsidR="002F5E92" w:rsidRPr="00881C5F">
        <w:rPr>
          <w:lang w:val="en-US"/>
        </w:rPr>
        <w:t xml:space="preserve"> Epidemiological Record 2007; </w:t>
      </w:r>
      <w:r w:rsidR="003459D2" w:rsidRPr="00881C5F">
        <w:rPr>
          <w:lang w:val="en-US"/>
        </w:rPr>
        <w:t>12 82: 93-104</w:t>
      </w:r>
    </w:p>
    <w:p w:rsidR="00D7795E" w:rsidRPr="00881C5F" w:rsidRDefault="00D7795E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rPr>
          <w:lang w:val="en-US"/>
        </w:rPr>
        <w:t>Pebody RG, Hellenbrand W, D’Ancona F, Ruutu P. Pneumococcal</w:t>
      </w:r>
      <w:r w:rsidRPr="00881C5F">
        <w:rPr>
          <w:i/>
          <w:lang w:val="en-US"/>
        </w:rPr>
        <w:t xml:space="preserve"> </w:t>
      </w:r>
      <w:r w:rsidRPr="00881C5F">
        <w:rPr>
          <w:lang w:val="en-US"/>
        </w:rPr>
        <w:t xml:space="preserve">disease surveillance in Europe. </w:t>
      </w:r>
      <w:r w:rsidRPr="00881C5F">
        <w:rPr>
          <w:i/>
          <w:iCs/>
          <w:lang w:val="en-US"/>
        </w:rPr>
        <w:t xml:space="preserve">Eurosurveillance monthly </w:t>
      </w:r>
      <w:r w:rsidR="00C6064C" w:rsidRPr="00881C5F">
        <w:rPr>
          <w:i/>
          <w:lang w:val="en-US"/>
        </w:rPr>
        <w:t>2006</w:t>
      </w:r>
      <w:r w:rsidR="00C6064C" w:rsidRPr="00881C5F">
        <w:rPr>
          <w:lang w:val="en-US"/>
        </w:rPr>
        <w:t>; 11 (</w:t>
      </w:r>
      <w:r w:rsidR="003459D2" w:rsidRPr="00881C5F">
        <w:rPr>
          <w:lang w:val="en-US"/>
        </w:rPr>
        <w:t>9): 171-8</w:t>
      </w:r>
    </w:p>
    <w:p w:rsidR="003F117D" w:rsidRPr="00881C5F" w:rsidRDefault="003F117D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rPr>
          <w:lang w:val="en-US"/>
        </w:rPr>
        <w:t xml:space="preserve">Bogaert D, De Groot R, Hermans PW. </w:t>
      </w:r>
      <w:r w:rsidRPr="00881C5F">
        <w:rPr>
          <w:i/>
          <w:lang w:val="en-US"/>
        </w:rPr>
        <w:t xml:space="preserve">Streptococcus pneumonia </w:t>
      </w:r>
      <w:r w:rsidR="00C6064C" w:rsidRPr="00881C5F">
        <w:rPr>
          <w:lang w:val="en-US"/>
        </w:rPr>
        <w:t>colonization</w:t>
      </w:r>
      <w:r w:rsidRPr="00881C5F">
        <w:rPr>
          <w:lang w:val="en-US"/>
        </w:rPr>
        <w:t xml:space="preserve">: the key to pneumococcal disease. </w:t>
      </w:r>
      <w:r w:rsidRPr="00881C5F">
        <w:rPr>
          <w:i/>
          <w:lang w:val="en-US"/>
        </w:rPr>
        <w:t>Lancet Infect Dis</w:t>
      </w:r>
      <w:r w:rsidRPr="00881C5F">
        <w:rPr>
          <w:lang w:val="en-US"/>
        </w:rPr>
        <w:t xml:space="preserve"> 2004; 4:</w:t>
      </w:r>
      <w:r w:rsidR="00C6064C" w:rsidRPr="00881C5F">
        <w:rPr>
          <w:lang w:val="en-US"/>
        </w:rPr>
        <w:t xml:space="preserve"> </w:t>
      </w:r>
      <w:r w:rsidR="003459D2" w:rsidRPr="00881C5F">
        <w:rPr>
          <w:lang w:val="en-US"/>
        </w:rPr>
        <w:t>144-5</w:t>
      </w:r>
    </w:p>
    <w:p w:rsidR="00C853D9" w:rsidRPr="00881C5F" w:rsidRDefault="00C853D9" w:rsidP="00881C5F">
      <w:pPr>
        <w:pStyle w:val="PargrafodaLista"/>
        <w:numPr>
          <w:ilvl w:val="0"/>
          <w:numId w:val="1"/>
        </w:numPr>
        <w:spacing w:line="480" w:lineRule="auto"/>
        <w:jc w:val="left"/>
      </w:pPr>
      <w:r w:rsidRPr="00881C5F">
        <w:rPr>
          <w:bCs/>
          <w:lang w:val="es-AR"/>
        </w:rPr>
        <w:t>Espín</w:t>
      </w:r>
      <w:r w:rsidRPr="00881C5F">
        <w:rPr>
          <w:lang w:val="es-AR"/>
        </w:rPr>
        <w:t xml:space="preserve"> MI, </w:t>
      </w:r>
      <w:r w:rsidRPr="00881C5F">
        <w:rPr>
          <w:bCs/>
          <w:lang w:val="es-AR"/>
        </w:rPr>
        <w:t>Sandoval</w:t>
      </w:r>
      <w:r w:rsidRPr="00881C5F">
        <w:rPr>
          <w:lang w:val="es-AR"/>
        </w:rPr>
        <w:t xml:space="preserve"> A, </w:t>
      </w:r>
      <w:r w:rsidRPr="00881C5F">
        <w:rPr>
          <w:bCs/>
          <w:lang w:val="es-AR"/>
        </w:rPr>
        <w:t>Ruiz</w:t>
      </w:r>
      <w:r w:rsidRPr="00881C5F">
        <w:rPr>
          <w:lang w:val="es-AR"/>
        </w:rPr>
        <w:t xml:space="preserve"> J, </w:t>
      </w:r>
      <w:r w:rsidRPr="00881C5F">
        <w:rPr>
          <w:bCs/>
          <w:lang w:val="es-AR"/>
        </w:rPr>
        <w:t>Navarro</w:t>
      </w:r>
      <w:r w:rsidRPr="00881C5F">
        <w:rPr>
          <w:lang w:val="es-AR"/>
        </w:rPr>
        <w:t xml:space="preserve"> JA, </w:t>
      </w:r>
      <w:r w:rsidRPr="00881C5F">
        <w:rPr>
          <w:bCs/>
          <w:lang w:val="es-AR"/>
        </w:rPr>
        <w:t>García</w:t>
      </w:r>
      <w:r w:rsidR="00C40D9E" w:rsidRPr="00881C5F">
        <w:rPr>
          <w:bCs/>
          <w:lang w:val="es-AR"/>
        </w:rPr>
        <w:t xml:space="preserve"> </w:t>
      </w:r>
      <w:r w:rsidRPr="00881C5F">
        <w:rPr>
          <w:bCs/>
          <w:lang w:val="es-AR"/>
        </w:rPr>
        <w:t xml:space="preserve">J, Pérez Flores D. Enfermedad neumocócica invasiva en niños de la Región de Murcia. </w:t>
      </w:r>
      <w:r w:rsidRPr="00881C5F">
        <w:rPr>
          <w:bCs/>
          <w:i/>
          <w:iCs/>
        </w:rPr>
        <w:t xml:space="preserve">Gac Sanit </w:t>
      </w:r>
      <w:r w:rsidRPr="00881C5F">
        <w:rPr>
          <w:bCs/>
          <w:iCs/>
        </w:rPr>
        <w:t>2002;</w:t>
      </w:r>
      <w:r w:rsidR="000F69AC" w:rsidRPr="00881C5F">
        <w:rPr>
          <w:bCs/>
          <w:iCs/>
        </w:rPr>
        <w:t xml:space="preserve"> </w:t>
      </w:r>
      <w:r w:rsidRPr="00881C5F">
        <w:rPr>
          <w:bCs/>
          <w:iCs/>
        </w:rPr>
        <w:t>16(5): 385-91</w:t>
      </w:r>
    </w:p>
    <w:p w:rsidR="009C5F10" w:rsidRPr="00881C5F" w:rsidRDefault="009C5F10" w:rsidP="00881C5F">
      <w:pPr>
        <w:pStyle w:val="PargrafodaLista"/>
        <w:numPr>
          <w:ilvl w:val="0"/>
          <w:numId w:val="1"/>
        </w:numPr>
        <w:spacing w:line="480" w:lineRule="auto"/>
        <w:jc w:val="left"/>
      </w:pPr>
      <w:r w:rsidRPr="00881C5F">
        <w:t xml:space="preserve">Circular Normativa da Direcção Geral de Saúde. Vacinação, a nível hospitalar, contra infecções por </w:t>
      </w:r>
      <w:r w:rsidRPr="00881C5F">
        <w:rPr>
          <w:i/>
        </w:rPr>
        <w:t>Streptococcus pneumoniae</w:t>
      </w:r>
      <w:r w:rsidRPr="00881C5F">
        <w:t xml:space="preserve"> de crianças/adolescentes de risco para doe</w:t>
      </w:r>
      <w:r w:rsidR="002F5E92" w:rsidRPr="00881C5F">
        <w:t xml:space="preserve">nça invasiva pneumocócica. Junho </w:t>
      </w:r>
      <w:r w:rsidRPr="00881C5F">
        <w:t>2010</w:t>
      </w:r>
    </w:p>
    <w:p w:rsidR="004C4C70" w:rsidRPr="00881C5F" w:rsidRDefault="004C4C70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rPr>
          <w:lang w:val="en-US"/>
        </w:rPr>
        <w:t xml:space="preserve">Serrano I, Melo CJ, Carriço JA, Ramirez M. Characterization of the genetic lineages responsible for pneumococcal invasive disease in Portugal. </w:t>
      </w:r>
      <w:r w:rsidRPr="00881C5F">
        <w:rPr>
          <w:i/>
          <w:lang w:val="en-US"/>
        </w:rPr>
        <w:t>J Clin Microb</w:t>
      </w:r>
      <w:r w:rsidRPr="00881C5F">
        <w:rPr>
          <w:lang w:val="en-US"/>
        </w:rPr>
        <w:t xml:space="preserve"> 2005; 43: 1706-15</w:t>
      </w:r>
    </w:p>
    <w:p w:rsidR="0075419A" w:rsidRPr="00881C5F" w:rsidRDefault="0075419A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rPr>
          <w:lang w:val="en-US"/>
        </w:rPr>
        <w:t xml:space="preserve">Aguiar SI, Brito MJ, Gonçalo-Marques J, Melo-Cristino J, Ramirez M. Serotypes 1, 7F and 19A became the leading causes of pediatric invasive pneumococcal infections in Portugal after 7 years of heptavalent conjugate vaccine use. </w:t>
      </w:r>
      <w:r w:rsidRPr="00881C5F">
        <w:rPr>
          <w:i/>
          <w:lang w:val="en-US"/>
        </w:rPr>
        <w:t>Vaccine</w:t>
      </w:r>
      <w:r w:rsidRPr="00881C5F">
        <w:rPr>
          <w:lang w:val="en-US"/>
        </w:rPr>
        <w:t xml:space="preserve"> 2010 (28): 5167-73</w:t>
      </w:r>
    </w:p>
    <w:p w:rsidR="002F5E92" w:rsidRPr="00881C5F" w:rsidRDefault="004C003A" w:rsidP="00881C5F">
      <w:pPr>
        <w:pStyle w:val="PargrafodaLista"/>
        <w:numPr>
          <w:ilvl w:val="0"/>
          <w:numId w:val="1"/>
        </w:numPr>
        <w:spacing w:line="480" w:lineRule="auto"/>
        <w:jc w:val="left"/>
        <w:rPr>
          <w:lang w:val="en-US"/>
        </w:rPr>
      </w:pPr>
      <w:r w:rsidRPr="00881C5F">
        <w:lastRenderedPageBreak/>
        <w:t xml:space="preserve">Centre National de Référence des Pneumocoques. </w:t>
      </w:r>
      <w:r w:rsidRPr="00881C5F">
        <w:rPr>
          <w:lang w:val="en-US"/>
        </w:rPr>
        <w:t xml:space="preserve">Varon E </w:t>
      </w:r>
      <w:r w:rsidRPr="00881C5F">
        <w:rPr>
          <w:i/>
          <w:lang w:val="en-US"/>
        </w:rPr>
        <w:t>et al</w:t>
      </w:r>
      <w:r w:rsidRPr="00881C5F">
        <w:rPr>
          <w:lang w:val="en-US"/>
        </w:rPr>
        <w:t xml:space="preserve">. Rapport d’activité </w:t>
      </w:r>
      <w:r w:rsidR="000D6729" w:rsidRPr="00881C5F">
        <w:rPr>
          <w:lang w:val="en-US"/>
        </w:rPr>
        <w:t>2009 – Epidémiologie 2008</w:t>
      </w:r>
    </w:p>
    <w:p w:rsidR="002F5E92" w:rsidRPr="00881C5F" w:rsidRDefault="002F5E92" w:rsidP="00881C5F">
      <w:pPr>
        <w:spacing w:line="480" w:lineRule="auto"/>
        <w:ind w:left="360"/>
        <w:jc w:val="left"/>
        <w:rPr>
          <w:lang w:val="es-AR"/>
        </w:rPr>
      </w:pPr>
      <w:r w:rsidRPr="00881C5F">
        <w:rPr>
          <w:lang w:val="en-US"/>
        </w:rPr>
        <w:t xml:space="preserve">10 - </w:t>
      </w:r>
      <w:r w:rsidR="000D6729" w:rsidRPr="00881C5F">
        <w:rPr>
          <w:lang w:val="en-US"/>
        </w:rPr>
        <w:t xml:space="preserve">Robert Koch-Institut Epidemiologisches Bulletin 2009. </w:t>
      </w:r>
      <w:r w:rsidR="000D6729" w:rsidRPr="00881C5F">
        <w:rPr>
          <w:lang w:val="es-AR"/>
        </w:rPr>
        <w:t>49: 507</w:t>
      </w:r>
    </w:p>
    <w:p w:rsidR="009B1E72" w:rsidRPr="00881C5F" w:rsidRDefault="002F5E9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s-AR"/>
        </w:rPr>
        <w:t xml:space="preserve">11 - </w:t>
      </w:r>
      <w:r w:rsidR="000D6729" w:rsidRPr="00881C5F">
        <w:rPr>
          <w:lang w:val="es-AR"/>
        </w:rPr>
        <w:t xml:space="preserve">Van der Linden </w:t>
      </w:r>
      <w:r w:rsidR="000D6729" w:rsidRPr="00881C5F">
        <w:rPr>
          <w:i/>
          <w:lang w:val="es-AR"/>
        </w:rPr>
        <w:t>et al</w:t>
      </w:r>
      <w:r w:rsidR="000D6729" w:rsidRPr="00881C5F">
        <w:rPr>
          <w:lang w:val="es-AR"/>
        </w:rPr>
        <w:t xml:space="preserve">. </w:t>
      </w:r>
      <w:r w:rsidR="000D6729" w:rsidRPr="00881C5F">
        <w:rPr>
          <w:lang w:val="en-US"/>
        </w:rPr>
        <w:t>Effects of four years of PCV7 immunization in German</w:t>
      </w:r>
      <w:r w:rsidR="009B1E72" w:rsidRPr="00881C5F">
        <w:rPr>
          <w:lang w:val="en-US"/>
        </w:rPr>
        <w:t xml:space="preserve"> </w:t>
      </w:r>
      <w:r w:rsidR="000D6729" w:rsidRPr="00881C5F">
        <w:rPr>
          <w:lang w:val="en-US"/>
        </w:rPr>
        <w:t>children on number of reported cases and on incidence of IPD. Poster presented at the 50</w:t>
      </w:r>
      <w:r w:rsidR="000D6729" w:rsidRPr="00881C5F">
        <w:rPr>
          <w:vertAlign w:val="superscript"/>
          <w:lang w:val="en-US"/>
        </w:rPr>
        <w:t>th</w:t>
      </w:r>
      <w:r w:rsidR="000D6729" w:rsidRPr="00881C5F">
        <w:rPr>
          <w:lang w:val="en-US"/>
        </w:rPr>
        <w:t xml:space="preserve"> Interscience Conference on antimicrobial agents and chemotherapy (ICAAC). Boston, September 2010</w:t>
      </w:r>
    </w:p>
    <w:p w:rsidR="009B1E72" w:rsidRPr="00881C5F" w:rsidRDefault="009B1E7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n-US"/>
        </w:rPr>
        <w:t>12 -</w:t>
      </w:r>
      <w:r w:rsidR="003D5F07" w:rsidRPr="00881C5F">
        <w:rPr>
          <w:lang w:val="en-US"/>
        </w:rPr>
        <w:t xml:space="preserve"> </w:t>
      </w:r>
      <w:r w:rsidR="00646D38" w:rsidRPr="00881C5F">
        <w:rPr>
          <w:lang w:val="en-US"/>
        </w:rPr>
        <w:t>The NHS Information Centre, Public Health Indicators and population statistics team. NHS Immunization Statistics England 2009-2010. Version 1, 30</w:t>
      </w:r>
      <w:r w:rsidR="00646D38" w:rsidRPr="00881C5F">
        <w:rPr>
          <w:vertAlign w:val="superscript"/>
          <w:lang w:val="en-US"/>
        </w:rPr>
        <w:t>th</w:t>
      </w:r>
      <w:r w:rsidR="00646D38" w:rsidRPr="00881C5F">
        <w:rPr>
          <w:lang w:val="en-US"/>
        </w:rPr>
        <w:t xml:space="preserve"> November 2010</w:t>
      </w:r>
    </w:p>
    <w:p w:rsidR="009B1E72" w:rsidRPr="00881C5F" w:rsidRDefault="009B1E7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n-US"/>
        </w:rPr>
        <w:t>13  -</w:t>
      </w:r>
      <w:r w:rsidR="003D5F07" w:rsidRPr="00881C5F">
        <w:rPr>
          <w:lang w:val="en-US"/>
        </w:rPr>
        <w:t xml:space="preserve"> Direzione Generalle della prevenzione sanitaria. Indicazione in merito alla somministrazione del vac</w:t>
      </w:r>
      <w:r w:rsidR="00400FB4" w:rsidRPr="00881C5F">
        <w:rPr>
          <w:lang w:val="en-US"/>
        </w:rPr>
        <w:t>cino antipneumociccico Prevenar</w:t>
      </w:r>
      <w:r w:rsidR="003D5F07" w:rsidRPr="00881C5F">
        <w:rPr>
          <w:lang w:val="en-US"/>
        </w:rPr>
        <w:t>13® in età pediatrica. Maio 2010.</w:t>
      </w:r>
    </w:p>
    <w:p w:rsidR="009B1E72" w:rsidRPr="00881C5F" w:rsidRDefault="009B1E7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n-US"/>
        </w:rPr>
        <w:t xml:space="preserve">14 - </w:t>
      </w:r>
      <w:r w:rsidR="00AF210A" w:rsidRPr="00881C5F">
        <w:rPr>
          <w:lang w:val="en-US"/>
        </w:rPr>
        <w:t xml:space="preserve"> Levine O, Farley M, Harrison L, Lefkowitz L, McGeer A, Schwartz B. Risk factors for invasive pneumococcal disease in children: a population-based-control study</w:t>
      </w:r>
      <w:r w:rsidR="0068585C" w:rsidRPr="00881C5F">
        <w:rPr>
          <w:lang w:val="en-US"/>
        </w:rPr>
        <w:t xml:space="preserve"> in North America. </w:t>
      </w:r>
      <w:r w:rsidR="0068585C" w:rsidRPr="00881C5F">
        <w:rPr>
          <w:i/>
          <w:lang w:val="en-US"/>
        </w:rPr>
        <w:t>Pediatrics</w:t>
      </w:r>
      <w:r w:rsidR="0068585C" w:rsidRPr="00881C5F">
        <w:rPr>
          <w:lang w:val="en-US"/>
        </w:rPr>
        <w:t xml:space="preserve"> 1999. 103: e28</w:t>
      </w:r>
    </w:p>
    <w:p w:rsidR="00435962" w:rsidRPr="003E006B" w:rsidRDefault="009B1E72" w:rsidP="00881C5F">
      <w:pPr>
        <w:spacing w:line="480" w:lineRule="auto"/>
        <w:ind w:left="360"/>
        <w:jc w:val="left"/>
      </w:pPr>
      <w:r w:rsidRPr="00881C5F">
        <w:rPr>
          <w:lang w:val="en-US"/>
        </w:rPr>
        <w:t xml:space="preserve">15 - </w:t>
      </w:r>
      <w:r w:rsidR="00435962" w:rsidRPr="00881C5F">
        <w:rPr>
          <w:lang w:val="en-US"/>
        </w:rPr>
        <w:t xml:space="preserve"> </w:t>
      </w:r>
      <w:r w:rsidR="00400FB4" w:rsidRPr="00881C5F">
        <w:rPr>
          <w:lang w:val="en-US"/>
        </w:rPr>
        <w:t>Pick</w:t>
      </w:r>
      <w:r w:rsidR="00BC406B" w:rsidRPr="00881C5F">
        <w:rPr>
          <w:lang w:val="en-US"/>
        </w:rPr>
        <w:t xml:space="preserve">ering LK, Baker CJ, </w:t>
      </w:r>
      <w:r w:rsidR="00C45D27" w:rsidRPr="00881C5F">
        <w:rPr>
          <w:lang w:val="en-US"/>
        </w:rPr>
        <w:t>Kimberlin DW Long SS. Eds Red Book, 2009 Report of the Committee on Infectious Diseases, 28</w:t>
      </w:r>
      <w:r w:rsidR="00C45D27" w:rsidRPr="00881C5F">
        <w:rPr>
          <w:vertAlign w:val="superscript"/>
          <w:lang w:val="en-US"/>
        </w:rPr>
        <w:t>th</w:t>
      </w:r>
      <w:r w:rsidR="00C45D27" w:rsidRPr="00881C5F">
        <w:rPr>
          <w:lang w:val="en-US"/>
        </w:rPr>
        <w:t xml:space="preserve"> edition. </w:t>
      </w:r>
      <w:r w:rsidR="00C45D27" w:rsidRPr="003E006B">
        <w:t>Elk Grove Village, IL:</w:t>
      </w:r>
      <w:r w:rsidR="00C116B5" w:rsidRPr="003E006B">
        <w:t xml:space="preserve"> American Academy of Pediatrics</w:t>
      </w:r>
      <w:r w:rsidR="00C45D27" w:rsidRPr="003E006B">
        <w:t xml:space="preserve"> 2009: 524-35</w:t>
      </w:r>
    </w:p>
    <w:p w:rsidR="009B1E72" w:rsidRPr="00881C5F" w:rsidRDefault="009B1E72" w:rsidP="00881C5F">
      <w:pPr>
        <w:spacing w:line="480" w:lineRule="auto"/>
        <w:ind w:left="360"/>
        <w:jc w:val="left"/>
      </w:pPr>
      <w:r w:rsidRPr="00881C5F">
        <w:t xml:space="preserve">16 - </w:t>
      </w:r>
      <w:r w:rsidR="00D14226" w:rsidRPr="00881C5F">
        <w:t xml:space="preserve"> </w:t>
      </w:r>
      <w:r w:rsidR="003C3A56" w:rsidRPr="00881C5F">
        <w:t xml:space="preserve">Neves JF, Rodrigues P, Peres A, Constantino C, Cunha F. Doença pneumocócica invasiva na era vacinal. </w:t>
      </w:r>
      <w:r w:rsidR="003C3A56" w:rsidRPr="00881C5F">
        <w:rPr>
          <w:i/>
        </w:rPr>
        <w:t>Acta Pediatr Port</w:t>
      </w:r>
      <w:r w:rsidR="003C3A56" w:rsidRPr="00881C5F">
        <w:t xml:space="preserve"> 2008; 39 (5): 206-10</w:t>
      </w:r>
    </w:p>
    <w:p w:rsidR="009B1E72" w:rsidRPr="00881C5F" w:rsidRDefault="009B1E72" w:rsidP="00881C5F">
      <w:pPr>
        <w:spacing w:line="480" w:lineRule="auto"/>
        <w:ind w:left="360"/>
        <w:jc w:val="left"/>
      </w:pPr>
      <w:r w:rsidRPr="00881C5F">
        <w:t xml:space="preserve">17 - </w:t>
      </w:r>
      <w:r w:rsidR="00CF583E" w:rsidRPr="00881C5F">
        <w:t xml:space="preserve"> Secção de Infecciologia Pediátrica da SPP – Grupo de Estudo da Doença Pneumocócica. Doença Pneumocócica Invasiva </w:t>
      </w:r>
      <w:r w:rsidR="003104F7" w:rsidRPr="00881C5F">
        <w:t>na</w:t>
      </w:r>
      <w:r w:rsidR="00CF583E" w:rsidRPr="00881C5F">
        <w:t xml:space="preserve"> idade pediátrica em Portugal 1991-2001, </w:t>
      </w:r>
      <w:r w:rsidR="00CF583E" w:rsidRPr="00881C5F">
        <w:rPr>
          <w:i/>
        </w:rPr>
        <w:t>in</w:t>
      </w:r>
      <w:r w:rsidR="00CF583E" w:rsidRPr="00881C5F">
        <w:t xml:space="preserve"> III Encontro de Infecciologia Pediátrica da Secção de Infecciologia Pediátrica da SPP</w:t>
      </w:r>
      <w:r w:rsidR="00BA7482" w:rsidRPr="00881C5F">
        <w:t xml:space="preserve">, Coimbra </w:t>
      </w:r>
      <w:r w:rsidRPr="00881C5F">
        <w:t>–</w:t>
      </w:r>
      <w:r w:rsidR="00BA7482" w:rsidRPr="00881C5F">
        <w:t xml:space="preserve"> 2005</w:t>
      </w:r>
    </w:p>
    <w:p w:rsidR="009B1E72" w:rsidRPr="00881C5F" w:rsidRDefault="009B1E72" w:rsidP="00881C5F">
      <w:pPr>
        <w:spacing w:line="480" w:lineRule="auto"/>
        <w:ind w:left="360"/>
        <w:jc w:val="left"/>
      </w:pPr>
      <w:r w:rsidRPr="00881C5F">
        <w:lastRenderedPageBreak/>
        <w:t xml:space="preserve">18 - </w:t>
      </w:r>
      <w:r w:rsidR="003104F7" w:rsidRPr="00881C5F">
        <w:t xml:space="preserve">Secção de Infecciologia Pediátrica da SPP – Grupo de Estudo da Doença Pneumocócica. Vigilância epidemiológica da DPI, 2008-2010, </w:t>
      </w:r>
      <w:r w:rsidR="003104F7" w:rsidRPr="00881C5F">
        <w:rPr>
          <w:i/>
        </w:rPr>
        <w:t>in</w:t>
      </w:r>
      <w:r w:rsidR="003104F7" w:rsidRPr="00881C5F">
        <w:t xml:space="preserve"> XI Jornadas Nacionais de Infecciologia Pediátrica, Aveiro</w:t>
      </w:r>
      <w:r w:rsidR="00783D5D" w:rsidRPr="00881C5F">
        <w:t xml:space="preserve"> -</w:t>
      </w:r>
      <w:r w:rsidR="003104F7" w:rsidRPr="00881C5F">
        <w:t xml:space="preserve"> Maio/2009</w:t>
      </w:r>
    </w:p>
    <w:p w:rsidR="009B1E72" w:rsidRPr="00881C5F" w:rsidRDefault="009B1E72" w:rsidP="00881C5F">
      <w:pPr>
        <w:spacing w:line="480" w:lineRule="auto"/>
        <w:ind w:left="360"/>
        <w:jc w:val="left"/>
      </w:pPr>
      <w:r w:rsidRPr="00881C5F">
        <w:t xml:space="preserve">19 - </w:t>
      </w:r>
      <w:r w:rsidR="003104F7" w:rsidRPr="00881C5F">
        <w:t xml:space="preserve">Secção de Infecciologia Pediátrica da SPP – Grupo de Estudo da Doença Pneumocócica. Vigilância epidemiológica da DPI, 2006-2008, </w:t>
      </w:r>
      <w:r w:rsidR="003104F7" w:rsidRPr="00881C5F">
        <w:rPr>
          <w:i/>
        </w:rPr>
        <w:t>in</w:t>
      </w:r>
      <w:r w:rsidR="003104F7" w:rsidRPr="00881C5F">
        <w:t xml:space="preserve"> XII Jornadas Nacionais de Infecciologia Pediátrica, Braga</w:t>
      </w:r>
      <w:r w:rsidR="00783D5D" w:rsidRPr="00881C5F">
        <w:t xml:space="preserve"> -</w:t>
      </w:r>
      <w:r w:rsidR="003104F7" w:rsidRPr="00881C5F">
        <w:t xml:space="preserve"> Maio/2011</w:t>
      </w:r>
    </w:p>
    <w:p w:rsidR="009B1E72" w:rsidRPr="00881C5F" w:rsidRDefault="009B1E72" w:rsidP="00881C5F">
      <w:pPr>
        <w:spacing w:line="480" w:lineRule="auto"/>
        <w:ind w:left="360"/>
        <w:jc w:val="left"/>
      </w:pPr>
      <w:r w:rsidRPr="00881C5F">
        <w:t xml:space="preserve">20 - </w:t>
      </w:r>
      <w:r w:rsidR="00750426" w:rsidRPr="00881C5F">
        <w:t xml:space="preserve">Secção de Infecciologia Pediátrica da SPP – Grupo de Estudo da Doença Pneumocócica. </w:t>
      </w:r>
      <w:r w:rsidR="00201E7C" w:rsidRPr="00881C5F">
        <w:t xml:space="preserve">Vigilância epidemiológica da DPI, 2010-2012, </w:t>
      </w:r>
      <w:r w:rsidR="00201E7C" w:rsidRPr="00881C5F">
        <w:rPr>
          <w:i/>
        </w:rPr>
        <w:t>in</w:t>
      </w:r>
      <w:r w:rsidR="00201E7C" w:rsidRPr="00881C5F">
        <w:t xml:space="preserve"> Reunião de Doença Penumocócica, Unhais da Serra – Outubro/2012</w:t>
      </w:r>
    </w:p>
    <w:p w:rsidR="009B1E72" w:rsidRPr="00881C5F" w:rsidRDefault="009B1E7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n-US"/>
        </w:rPr>
        <w:t>21 -</w:t>
      </w:r>
      <w:r w:rsidR="0077045F" w:rsidRPr="00881C5F">
        <w:rPr>
          <w:lang w:val="en-US"/>
        </w:rPr>
        <w:t xml:space="preserve"> </w:t>
      </w:r>
      <w:r w:rsidR="00D14226" w:rsidRPr="00881C5F">
        <w:rPr>
          <w:lang w:val="en-US"/>
        </w:rPr>
        <w:t xml:space="preserve">Farrel D, Klugman K, Pichichero M. Increased microbial resistance among nonvaccine serotypes of Streptococcus pneumonia in the pediatric population after the introduction of 7-valent pneumococcal vaccine in the United States. </w:t>
      </w:r>
      <w:r w:rsidR="00D14226" w:rsidRPr="00881C5F">
        <w:rPr>
          <w:i/>
          <w:lang w:val="en-US"/>
        </w:rPr>
        <w:t>Pediatric Inf Dis J</w:t>
      </w:r>
      <w:r w:rsidR="00C116B5" w:rsidRPr="00881C5F">
        <w:rPr>
          <w:lang w:val="en-US"/>
        </w:rPr>
        <w:t xml:space="preserve"> 2007,</w:t>
      </w:r>
      <w:r w:rsidR="00AB6D9F" w:rsidRPr="00881C5F">
        <w:rPr>
          <w:lang w:val="en-US"/>
        </w:rPr>
        <w:t xml:space="preserve"> 26: 123-8</w:t>
      </w:r>
    </w:p>
    <w:p w:rsidR="00C116B5" w:rsidRPr="00881C5F" w:rsidRDefault="009B1E72" w:rsidP="00881C5F">
      <w:pPr>
        <w:spacing w:line="480" w:lineRule="auto"/>
        <w:ind w:left="360"/>
        <w:jc w:val="left"/>
        <w:rPr>
          <w:lang w:val="en-US"/>
        </w:rPr>
      </w:pPr>
      <w:r w:rsidRPr="00881C5F">
        <w:rPr>
          <w:lang w:val="en-US"/>
        </w:rPr>
        <w:t>22 -</w:t>
      </w:r>
      <w:r w:rsidR="00C116B5" w:rsidRPr="00881C5F">
        <w:rPr>
          <w:lang w:val="en-US"/>
        </w:rPr>
        <w:t xml:space="preserve"> Dias R, Caniça M. Invasive pneumococcal disease in Portugal prior to and after the introduction of pneumococcal heptavalent conjugate vaccine. </w:t>
      </w:r>
      <w:r w:rsidR="00C116B5" w:rsidRPr="00881C5F">
        <w:rPr>
          <w:i/>
          <w:lang w:val="en-US"/>
        </w:rPr>
        <w:t>FEMS Immunol Med Microbiol</w:t>
      </w:r>
      <w:r w:rsidR="00C116B5" w:rsidRPr="00881C5F">
        <w:rPr>
          <w:lang w:val="en-US"/>
        </w:rPr>
        <w:t xml:space="preserve"> 2007, 51: 35-42</w:t>
      </w:r>
    </w:p>
    <w:p w:rsidR="00A011F5" w:rsidRPr="00881C5F" w:rsidRDefault="00A011F5" w:rsidP="00881C5F">
      <w:pPr>
        <w:spacing w:line="480" w:lineRule="auto"/>
        <w:jc w:val="left"/>
        <w:rPr>
          <w:lang w:val="en-US"/>
        </w:rPr>
      </w:pPr>
    </w:p>
    <w:p w:rsidR="00C27E06" w:rsidRPr="00881C5F" w:rsidRDefault="00C27E06" w:rsidP="00881C5F">
      <w:pPr>
        <w:spacing w:line="480" w:lineRule="auto"/>
        <w:jc w:val="left"/>
        <w:rPr>
          <w:lang w:val="en-US"/>
        </w:rPr>
      </w:pPr>
    </w:p>
    <w:p w:rsidR="00C27E06" w:rsidRPr="00881C5F" w:rsidRDefault="00C27E06" w:rsidP="00881C5F">
      <w:pPr>
        <w:spacing w:line="480" w:lineRule="auto"/>
        <w:jc w:val="left"/>
        <w:rPr>
          <w:lang w:val="en-US"/>
        </w:rPr>
      </w:pPr>
    </w:p>
    <w:p w:rsidR="00DD16FC" w:rsidRPr="00881C5F" w:rsidRDefault="00DD16FC" w:rsidP="00881C5F">
      <w:pPr>
        <w:tabs>
          <w:tab w:val="clear" w:pos="284"/>
        </w:tabs>
        <w:spacing w:line="480" w:lineRule="auto"/>
        <w:jc w:val="left"/>
        <w:rPr>
          <w:b/>
          <w:lang w:val="en-US"/>
        </w:rPr>
      </w:pPr>
      <w:r w:rsidRPr="00881C5F">
        <w:rPr>
          <w:b/>
          <w:lang w:val="en-US"/>
        </w:rPr>
        <w:br w:type="page"/>
      </w:r>
    </w:p>
    <w:p w:rsidR="00C477A3" w:rsidRPr="00881C5F" w:rsidRDefault="00C477A3" w:rsidP="00881C5F">
      <w:pPr>
        <w:spacing w:line="480" w:lineRule="auto"/>
        <w:jc w:val="left"/>
        <w:rPr>
          <w:b/>
          <w:lang w:val="en-US"/>
        </w:rPr>
      </w:pPr>
      <w:r w:rsidRPr="00881C5F">
        <w:rPr>
          <w:b/>
          <w:lang w:val="en-US"/>
        </w:rPr>
        <w:lastRenderedPageBreak/>
        <w:t xml:space="preserve">Figuras </w:t>
      </w:r>
    </w:p>
    <w:p w:rsidR="00C477A3" w:rsidRPr="00881C5F" w:rsidRDefault="00C477A3" w:rsidP="00881C5F">
      <w:pPr>
        <w:spacing w:line="480" w:lineRule="auto"/>
        <w:jc w:val="left"/>
        <w:rPr>
          <w:lang w:val="en-US"/>
        </w:rPr>
      </w:pPr>
    </w:p>
    <w:p w:rsidR="00C477A3" w:rsidRPr="00881C5F" w:rsidRDefault="00F02DD1" w:rsidP="00881C5F">
      <w:pPr>
        <w:spacing w:line="480" w:lineRule="auto"/>
        <w:jc w:val="left"/>
      </w:pPr>
      <w:r w:rsidRPr="00881C5F">
        <w:rPr>
          <w:noProof/>
        </w:rPr>
        <w:drawing>
          <wp:inline distT="0" distB="0" distL="0" distR="0">
            <wp:extent cx="4695825" cy="2981325"/>
            <wp:effectExtent l="19050" t="0" r="9525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77A3" w:rsidRPr="00881C5F" w:rsidRDefault="00C477A3" w:rsidP="00881C5F">
      <w:pPr>
        <w:spacing w:line="480" w:lineRule="auto"/>
        <w:jc w:val="left"/>
      </w:pPr>
    </w:p>
    <w:p w:rsidR="00C477A3" w:rsidRPr="00881C5F" w:rsidRDefault="00612799" w:rsidP="00881C5F">
      <w:pPr>
        <w:spacing w:line="480" w:lineRule="auto"/>
        <w:jc w:val="left"/>
      </w:pPr>
      <w:r w:rsidRPr="00881C5F">
        <w:t>Gráfico</w:t>
      </w:r>
      <w:r w:rsidR="00C477A3" w:rsidRPr="00881C5F">
        <w:t xml:space="preserve"> 1 – Distribuição anual dos casos de DPI (2000 – 201</w:t>
      </w:r>
      <w:r w:rsidR="00C80159" w:rsidRPr="00881C5F">
        <w:t>2</w:t>
      </w:r>
      <w:r w:rsidR="00C477A3" w:rsidRPr="00881C5F">
        <w:t>)</w:t>
      </w:r>
    </w:p>
    <w:p w:rsidR="003400CA" w:rsidRPr="00881C5F" w:rsidRDefault="003400CA" w:rsidP="00881C5F">
      <w:pPr>
        <w:spacing w:line="480" w:lineRule="auto"/>
        <w:jc w:val="left"/>
      </w:pPr>
    </w:p>
    <w:p w:rsidR="003400CA" w:rsidRPr="00881C5F" w:rsidRDefault="00BB6F9E" w:rsidP="00881C5F">
      <w:pPr>
        <w:spacing w:line="480" w:lineRule="auto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0.95pt;margin-top:4pt;width:154.85pt;height:22.5pt;z-index:251665408;mso-width-relative:margin;mso-height-relative:margin" stroked="f">
            <v:textbox style="mso-next-textbox:#_x0000_s1032">
              <w:txbxContent>
                <w:p w:rsidR="001C6802" w:rsidRPr="00360A62" w:rsidRDefault="001C6802" w:rsidP="001C6802">
                  <w:pPr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Clínica de DPI</w:t>
                  </w:r>
                </w:p>
              </w:txbxContent>
            </v:textbox>
          </v:shape>
        </w:pict>
      </w:r>
    </w:p>
    <w:p w:rsidR="003400CA" w:rsidRPr="00881C5F" w:rsidRDefault="003400CA" w:rsidP="00881C5F">
      <w:pPr>
        <w:spacing w:line="480" w:lineRule="auto"/>
        <w:jc w:val="left"/>
      </w:pPr>
    </w:p>
    <w:p w:rsidR="003400CA" w:rsidRPr="00881C5F" w:rsidRDefault="00C5755D" w:rsidP="00881C5F">
      <w:pPr>
        <w:spacing w:line="480" w:lineRule="auto"/>
        <w:jc w:val="left"/>
      </w:pPr>
      <w:r>
        <w:rPr>
          <w:noProof/>
        </w:rPr>
        <w:drawing>
          <wp:inline distT="0" distB="0" distL="0" distR="0">
            <wp:extent cx="5072699" cy="2554311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96" cy="255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802" w:rsidRPr="00881C5F">
        <w:rPr>
          <w:noProof/>
        </w:rPr>
        <w:t xml:space="preserve"> </w:t>
      </w:r>
    </w:p>
    <w:p w:rsidR="003400CA" w:rsidRPr="00881C5F" w:rsidRDefault="001C6802" w:rsidP="00881C5F">
      <w:pPr>
        <w:spacing w:line="480" w:lineRule="auto"/>
        <w:jc w:val="left"/>
      </w:pPr>
      <w:r w:rsidRPr="00881C5F">
        <w:t>Gráfico 2 – Clínica de apresentação</w:t>
      </w:r>
    </w:p>
    <w:p w:rsidR="00C5755D" w:rsidRDefault="00C5755D" w:rsidP="00881C5F">
      <w:pPr>
        <w:spacing w:line="480" w:lineRule="auto"/>
        <w:jc w:val="left"/>
        <w:rPr>
          <w:noProof/>
        </w:rPr>
      </w:pPr>
    </w:p>
    <w:p w:rsidR="007B7533" w:rsidRPr="00881C5F" w:rsidRDefault="00BB6F9E" w:rsidP="00881C5F">
      <w:pPr>
        <w:spacing w:line="480" w:lineRule="auto"/>
        <w:jc w:val="left"/>
        <w:rPr>
          <w:noProof/>
        </w:rPr>
      </w:pPr>
      <w:r>
        <w:rPr>
          <w:noProof/>
          <w:lang w:eastAsia="en-US"/>
        </w:rPr>
        <w:lastRenderedPageBreak/>
        <w:pict>
          <v:shape id="_x0000_s1027" type="#_x0000_t202" style="position:absolute;margin-left:14.7pt;margin-top:13.95pt;width:293.25pt;height:22.5pt;z-index:251660288;mso-width-relative:margin;mso-height-relative:margin" stroked="f">
            <v:textbox style="mso-next-textbox:#_x0000_s1027">
              <w:txbxContent>
                <w:p w:rsidR="00360A62" w:rsidRPr="00360A62" w:rsidRDefault="00360A62">
                  <w:pPr>
                    <w:rPr>
                      <w:rFonts w:asciiTheme="minorHAnsi" w:hAnsiTheme="minorHAnsi"/>
                      <w:b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Taxa de cobertura com vacina anti-pneumocócica</w:t>
                  </w:r>
                </w:p>
              </w:txbxContent>
            </v:textbox>
          </v:shape>
        </w:pict>
      </w:r>
    </w:p>
    <w:p w:rsidR="003F4409" w:rsidRPr="00881C5F" w:rsidRDefault="003F4409" w:rsidP="00881C5F">
      <w:pPr>
        <w:spacing w:line="480" w:lineRule="auto"/>
        <w:jc w:val="left"/>
        <w:rPr>
          <w:noProof/>
        </w:rPr>
      </w:pPr>
    </w:p>
    <w:p w:rsidR="00C80159" w:rsidRPr="00881C5F" w:rsidRDefault="007B7533" w:rsidP="00881C5F">
      <w:pPr>
        <w:spacing w:line="480" w:lineRule="auto"/>
        <w:jc w:val="left"/>
        <w:rPr>
          <w:noProof/>
        </w:rPr>
      </w:pPr>
      <w:r w:rsidRPr="00881C5F">
        <w:rPr>
          <w:noProof/>
        </w:rPr>
        <w:drawing>
          <wp:inline distT="0" distB="0" distL="0" distR="0">
            <wp:extent cx="4000500" cy="2705100"/>
            <wp:effectExtent l="19050" t="0" r="1905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7533" w:rsidRPr="00881C5F" w:rsidRDefault="007B7533" w:rsidP="00881C5F">
      <w:pPr>
        <w:spacing w:line="480" w:lineRule="auto"/>
        <w:jc w:val="left"/>
        <w:rPr>
          <w:noProof/>
        </w:rPr>
      </w:pPr>
    </w:p>
    <w:p w:rsidR="00C80159" w:rsidRPr="00881C5F" w:rsidRDefault="00C0449C" w:rsidP="00881C5F">
      <w:pPr>
        <w:spacing w:line="480" w:lineRule="auto"/>
        <w:jc w:val="left"/>
        <w:rPr>
          <w:noProof/>
        </w:rPr>
      </w:pPr>
      <w:r w:rsidRPr="00881C5F">
        <w:rPr>
          <w:noProof/>
        </w:rPr>
        <w:t>Gráfico 3</w:t>
      </w:r>
      <w:r w:rsidR="00F457CF" w:rsidRPr="00881C5F">
        <w:rPr>
          <w:noProof/>
        </w:rPr>
        <w:t xml:space="preserve"> </w:t>
      </w:r>
      <w:r w:rsidR="007B7533" w:rsidRPr="00881C5F">
        <w:rPr>
          <w:noProof/>
        </w:rPr>
        <w:t>–</w:t>
      </w:r>
      <w:r w:rsidR="00F457CF" w:rsidRPr="00881C5F">
        <w:rPr>
          <w:noProof/>
        </w:rPr>
        <w:t xml:space="preserve"> </w:t>
      </w:r>
      <w:r w:rsidR="007B7533" w:rsidRPr="00881C5F">
        <w:rPr>
          <w:noProof/>
        </w:rPr>
        <w:t>Taxa de cobertura com vacina anti-pneumocócica na área de abrangência de Vila Real</w:t>
      </w:r>
    </w:p>
    <w:sectPr w:rsidR="00C80159" w:rsidRPr="00881C5F" w:rsidSect="00D43EFA"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21" w:rsidRDefault="00900621" w:rsidP="00881C5F">
      <w:pPr>
        <w:spacing w:line="240" w:lineRule="auto"/>
      </w:pPr>
      <w:r>
        <w:separator/>
      </w:r>
    </w:p>
  </w:endnote>
  <w:endnote w:type="continuationSeparator" w:id="0">
    <w:p w:rsidR="00900621" w:rsidRDefault="00900621" w:rsidP="00881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2891"/>
      <w:docPartObj>
        <w:docPartGallery w:val="Page Numbers (Bottom of Page)"/>
        <w:docPartUnique/>
      </w:docPartObj>
    </w:sdtPr>
    <w:sdtContent>
      <w:p w:rsidR="00881C5F" w:rsidRDefault="00BB6F9E">
        <w:pPr>
          <w:pStyle w:val="Rodap"/>
          <w:jc w:val="right"/>
        </w:pPr>
        <w:fldSimple w:instr=" PAGE   \* MERGEFORMAT ">
          <w:r w:rsidR="00A20773">
            <w:rPr>
              <w:noProof/>
            </w:rPr>
            <w:t>6</w:t>
          </w:r>
        </w:fldSimple>
      </w:p>
    </w:sdtContent>
  </w:sdt>
  <w:p w:rsidR="00881C5F" w:rsidRDefault="00881C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21" w:rsidRDefault="00900621" w:rsidP="00881C5F">
      <w:pPr>
        <w:spacing w:line="240" w:lineRule="auto"/>
      </w:pPr>
      <w:r>
        <w:separator/>
      </w:r>
    </w:p>
  </w:footnote>
  <w:footnote w:type="continuationSeparator" w:id="0">
    <w:p w:rsidR="00900621" w:rsidRDefault="00900621" w:rsidP="00881C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74C"/>
    <w:multiLevelType w:val="hybridMultilevel"/>
    <w:tmpl w:val="54F6E052"/>
    <w:lvl w:ilvl="0" w:tplc="DFD810CA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1D8"/>
    <w:rsid w:val="00003749"/>
    <w:rsid w:val="000102EA"/>
    <w:rsid w:val="0002223F"/>
    <w:rsid w:val="000259B6"/>
    <w:rsid w:val="00026889"/>
    <w:rsid w:val="00040E45"/>
    <w:rsid w:val="000443D8"/>
    <w:rsid w:val="000628AC"/>
    <w:rsid w:val="00071BBB"/>
    <w:rsid w:val="0007498C"/>
    <w:rsid w:val="00085CA0"/>
    <w:rsid w:val="000A1D2F"/>
    <w:rsid w:val="000A2936"/>
    <w:rsid w:val="000B5D30"/>
    <w:rsid w:val="000B69EA"/>
    <w:rsid w:val="000C767D"/>
    <w:rsid w:val="000D6729"/>
    <w:rsid w:val="000E19AD"/>
    <w:rsid w:val="000E7E40"/>
    <w:rsid w:val="000F69AC"/>
    <w:rsid w:val="00103D5E"/>
    <w:rsid w:val="00104F55"/>
    <w:rsid w:val="00114032"/>
    <w:rsid w:val="00135D2B"/>
    <w:rsid w:val="0013631B"/>
    <w:rsid w:val="0013748A"/>
    <w:rsid w:val="001664A1"/>
    <w:rsid w:val="00166B03"/>
    <w:rsid w:val="00170CA6"/>
    <w:rsid w:val="001841A2"/>
    <w:rsid w:val="001A26DF"/>
    <w:rsid w:val="001A3590"/>
    <w:rsid w:val="001A6409"/>
    <w:rsid w:val="001B74B8"/>
    <w:rsid w:val="001B78D8"/>
    <w:rsid w:val="001C1374"/>
    <w:rsid w:val="001C1FF8"/>
    <w:rsid w:val="001C6802"/>
    <w:rsid w:val="001D6A87"/>
    <w:rsid w:val="001D7A7E"/>
    <w:rsid w:val="001E7993"/>
    <w:rsid w:val="001F44F0"/>
    <w:rsid w:val="001F51A4"/>
    <w:rsid w:val="00201E7C"/>
    <w:rsid w:val="00211897"/>
    <w:rsid w:val="0021736D"/>
    <w:rsid w:val="00233EBE"/>
    <w:rsid w:val="002677F8"/>
    <w:rsid w:val="00270866"/>
    <w:rsid w:val="00292BDB"/>
    <w:rsid w:val="002B11E1"/>
    <w:rsid w:val="002B46D0"/>
    <w:rsid w:val="002B5E81"/>
    <w:rsid w:val="002C38A1"/>
    <w:rsid w:val="002D3301"/>
    <w:rsid w:val="002D7A21"/>
    <w:rsid w:val="002F1C24"/>
    <w:rsid w:val="002F3243"/>
    <w:rsid w:val="002F5E92"/>
    <w:rsid w:val="002F7F05"/>
    <w:rsid w:val="00300D41"/>
    <w:rsid w:val="0030707F"/>
    <w:rsid w:val="003104F7"/>
    <w:rsid w:val="00315E35"/>
    <w:rsid w:val="00322120"/>
    <w:rsid w:val="0033195B"/>
    <w:rsid w:val="00334A43"/>
    <w:rsid w:val="003400CA"/>
    <w:rsid w:val="003450D5"/>
    <w:rsid w:val="003459D2"/>
    <w:rsid w:val="00354B8E"/>
    <w:rsid w:val="003603FF"/>
    <w:rsid w:val="00360A62"/>
    <w:rsid w:val="00361B39"/>
    <w:rsid w:val="00367961"/>
    <w:rsid w:val="003716F9"/>
    <w:rsid w:val="003767EA"/>
    <w:rsid w:val="00386B3C"/>
    <w:rsid w:val="0039135A"/>
    <w:rsid w:val="003918D5"/>
    <w:rsid w:val="00397262"/>
    <w:rsid w:val="003B5077"/>
    <w:rsid w:val="003C3A56"/>
    <w:rsid w:val="003C5930"/>
    <w:rsid w:val="003D5B29"/>
    <w:rsid w:val="003D5F07"/>
    <w:rsid w:val="003E006B"/>
    <w:rsid w:val="003F117D"/>
    <w:rsid w:val="003F4409"/>
    <w:rsid w:val="00400FB4"/>
    <w:rsid w:val="0040326A"/>
    <w:rsid w:val="00412A5B"/>
    <w:rsid w:val="00433E4B"/>
    <w:rsid w:val="00435962"/>
    <w:rsid w:val="004428C8"/>
    <w:rsid w:val="00442A01"/>
    <w:rsid w:val="004435E1"/>
    <w:rsid w:val="00454458"/>
    <w:rsid w:val="004565A8"/>
    <w:rsid w:val="00462E49"/>
    <w:rsid w:val="004631B8"/>
    <w:rsid w:val="00466E34"/>
    <w:rsid w:val="004728E8"/>
    <w:rsid w:val="00482973"/>
    <w:rsid w:val="00495481"/>
    <w:rsid w:val="00495F66"/>
    <w:rsid w:val="0049754E"/>
    <w:rsid w:val="004A14BC"/>
    <w:rsid w:val="004C003A"/>
    <w:rsid w:val="004C1EDF"/>
    <w:rsid w:val="004C2188"/>
    <w:rsid w:val="004C4C70"/>
    <w:rsid w:val="004C691F"/>
    <w:rsid w:val="004C7BBE"/>
    <w:rsid w:val="004D27F2"/>
    <w:rsid w:val="004D358B"/>
    <w:rsid w:val="004D62A9"/>
    <w:rsid w:val="004E4DE3"/>
    <w:rsid w:val="005217F6"/>
    <w:rsid w:val="005269EA"/>
    <w:rsid w:val="00540080"/>
    <w:rsid w:val="00552D39"/>
    <w:rsid w:val="00560508"/>
    <w:rsid w:val="00575BCF"/>
    <w:rsid w:val="005772C1"/>
    <w:rsid w:val="00584F2F"/>
    <w:rsid w:val="00590871"/>
    <w:rsid w:val="00591EA8"/>
    <w:rsid w:val="00596885"/>
    <w:rsid w:val="00596E65"/>
    <w:rsid w:val="005A7E5D"/>
    <w:rsid w:val="005C7A7A"/>
    <w:rsid w:val="005D0E83"/>
    <w:rsid w:val="005D2A48"/>
    <w:rsid w:val="005D6CEB"/>
    <w:rsid w:val="005E389E"/>
    <w:rsid w:val="005E5133"/>
    <w:rsid w:val="00611DBC"/>
    <w:rsid w:val="00612799"/>
    <w:rsid w:val="00630497"/>
    <w:rsid w:val="00634D14"/>
    <w:rsid w:val="00646D38"/>
    <w:rsid w:val="00654B71"/>
    <w:rsid w:val="00662245"/>
    <w:rsid w:val="00671832"/>
    <w:rsid w:val="006841B9"/>
    <w:rsid w:val="0068585C"/>
    <w:rsid w:val="00694DF4"/>
    <w:rsid w:val="006A53C3"/>
    <w:rsid w:val="006A5E08"/>
    <w:rsid w:val="006C65D6"/>
    <w:rsid w:val="006E41A2"/>
    <w:rsid w:val="006E58DA"/>
    <w:rsid w:val="006E5B5C"/>
    <w:rsid w:val="006E7254"/>
    <w:rsid w:val="007136AB"/>
    <w:rsid w:val="007158BC"/>
    <w:rsid w:val="00735242"/>
    <w:rsid w:val="00736A13"/>
    <w:rsid w:val="00750426"/>
    <w:rsid w:val="0075419A"/>
    <w:rsid w:val="007553AB"/>
    <w:rsid w:val="00757636"/>
    <w:rsid w:val="0076208E"/>
    <w:rsid w:val="007630AE"/>
    <w:rsid w:val="0077045F"/>
    <w:rsid w:val="00771DA3"/>
    <w:rsid w:val="00772A66"/>
    <w:rsid w:val="00783D5D"/>
    <w:rsid w:val="007A0AA2"/>
    <w:rsid w:val="007A149D"/>
    <w:rsid w:val="007A3CF2"/>
    <w:rsid w:val="007A54E0"/>
    <w:rsid w:val="007B7533"/>
    <w:rsid w:val="007C2B85"/>
    <w:rsid w:val="007C2E49"/>
    <w:rsid w:val="007E0408"/>
    <w:rsid w:val="007E24C5"/>
    <w:rsid w:val="007F19A8"/>
    <w:rsid w:val="007F1DFE"/>
    <w:rsid w:val="007F6E5B"/>
    <w:rsid w:val="00804348"/>
    <w:rsid w:val="00807166"/>
    <w:rsid w:val="00815DBA"/>
    <w:rsid w:val="00823539"/>
    <w:rsid w:val="008343E9"/>
    <w:rsid w:val="008409A0"/>
    <w:rsid w:val="00857DD7"/>
    <w:rsid w:val="00866C92"/>
    <w:rsid w:val="00881C5F"/>
    <w:rsid w:val="00881E98"/>
    <w:rsid w:val="008823F9"/>
    <w:rsid w:val="00886DD0"/>
    <w:rsid w:val="00893CC7"/>
    <w:rsid w:val="0089732B"/>
    <w:rsid w:val="008A2D32"/>
    <w:rsid w:val="008B1B2F"/>
    <w:rsid w:val="008B7C28"/>
    <w:rsid w:val="008C068F"/>
    <w:rsid w:val="008C0AA4"/>
    <w:rsid w:val="008E38A2"/>
    <w:rsid w:val="008E75FB"/>
    <w:rsid w:val="008F14BA"/>
    <w:rsid w:val="008F18C8"/>
    <w:rsid w:val="008F35DD"/>
    <w:rsid w:val="00900621"/>
    <w:rsid w:val="00941B48"/>
    <w:rsid w:val="0096708A"/>
    <w:rsid w:val="009753BC"/>
    <w:rsid w:val="00992C51"/>
    <w:rsid w:val="00996A41"/>
    <w:rsid w:val="009B1E72"/>
    <w:rsid w:val="009C5F10"/>
    <w:rsid w:val="009D0942"/>
    <w:rsid w:val="009D7173"/>
    <w:rsid w:val="009D7FE3"/>
    <w:rsid w:val="009E3D5A"/>
    <w:rsid w:val="009E617B"/>
    <w:rsid w:val="009F1DF2"/>
    <w:rsid w:val="009F5605"/>
    <w:rsid w:val="00A011F5"/>
    <w:rsid w:val="00A0789B"/>
    <w:rsid w:val="00A172B3"/>
    <w:rsid w:val="00A20773"/>
    <w:rsid w:val="00A23028"/>
    <w:rsid w:val="00A4604B"/>
    <w:rsid w:val="00A60444"/>
    <w:rsid w:val="00A650FF"/>
    <w:rsid w:val="00A6511F"/>
    <w:rsid w:val="00A662FC"/>
    <w:rsid w:val="00A66808"/>
    <w:rsid w:val="00A7322F"/>
    <w:rsid w:val="00A74670"/>
    <w:rsid w:val="00A907DB"/>
    <w:rsid w:val="00AB6D9F"/>
    <w:rsid w:val="00AD3D3E"/>
    <w:rsid w:val="00AE4D24"/>
    <w:rsid w:val="00AF210A"/>
    <w:rsid w:val="00B078D1"/>
    <w:rsid w:val="00B12379"/>
    <w:rsid w:val="00B2263A"/>
    <w:rsid w:val="00B247EA"/>
    <w:rsid w:val="00B26B27"/>
    <w:rsid w:val="00B71435"/>
    <w:rsid w:val="00B77B90"/>
    <w:rsid w:val="00B8778F"/>
    <w:rsid w:val="00B8783B"/>
    <w:rsid w:val="00BA08A4"/>
    <w:rsid w:val="00BA1A90"/>
    <w:rsid w:val="00BA7482"/>
    <w:rsid w:val="00BA7E22"/>
    <w:rsid w:val="00BB6F9E"/>
    <w:rsid w:val="00BB7016"/>
    <w:rsid w:val="00BC0630"/>
    <w:rsid w:val="00BC2F62"/>
    <w:rsid w:val="00BC406B"/>
    <w:rsid w:val="00BC4E3A"/>
    <w:rsid w:val="00BE6F31"/>
    <w:rsid w:val="00BE7CAB"/>
    <w:rsid w:val="00BF1A1C"/>
    <w:rsid w:val="00BF4C81"/>
    <w:rsid w:val="00C00015"/>
    <w:rsid w:val="00C00AE1"/>
    <w:rsid w:val="00C02F95"/>
    <w:rsid w:val="00C0449C"/>
    <w:rsid w:val="00C116B5"/>
    <w:rsid w:val="00C15594"/>
    <w:rsid w:val="00C220E8"/>
    <w:rsid w:val="00C27E06"/>
    <w:rsid w:val="00C33705"/>
    <w:rsid w:val="00C40D9E"/>
    <w:rsid w:val="00C45D27"/>
    <w:rsid w:val="00C477A3"/>
    <w:rsid w:val="00C5755D"/>
    <w:rsid w:val="00C6064C"/>
    <w:rsid w:val="00C70988"/>
    <w:rsid w:val="00C746B7"/>
    <w:rsid w:val="00C76013"/>
    <w:rsid w:val="00C80159"/>
    <w:rsid w:val="00C84614"/>
    <w:rsid w:val="00C853D9"/>
    <w:rsid w:val="00C8775D"/>
    <w:rsid w:val="00C90CCC"/>
    <w:rsid w:val="00C92B0A"/>
    <w:rsid w:val="00CA04CE"/>
    <w:rsid w:val="00CC3D8D"/>
    <w:rsid w:val="00CC4E2D"/>
    <w:rsid w:val="00CF2771"/>
    <w:rsid w:val="00CF325A"/>
    <w:rsid w:val="00CF436C"/>
    <w:rsid w:val="00CF56C1"/>
    <w:rsid w:val="00CF583E"/>
    <w:rsid w:val="00CF6E9E"/>
    <w:rsid w:val="00D03D12"/>
    <w:rsid w:val="00D14226"/>
    <w:rsid w:val="00D214FA"/>
    <w:rsid w:val="00D25ABF"/>
    <w:rsid w:val="00D309D2"/>
    <w:rsid w:val="00D351D8"/>
    <w:rsid w:val="00D43EFA"/>
    <w:rsid w:val="00D44612"/>
    <w:rsid w:val="00D475EA"/>
    <w:rsid w:val="00D505A5"/>
    <w:rsid w:val="00D56713"/>
    <w:rsid w:val="00D60138"/>
    <w:rsid w:val="00D774DD"/>
    <w:rsid w:val="00D7782F"/>
    <w:rsid w:val="00D7795E"/>
    <w:rsid w:val="00D8268A"/>
    <w:rsid w:val="00D86143"/>
    <w:rsid w:val="00D86A2E"/>
    <w:rsid w:val="00D91456"/>
    <w:rsid w:val="00D9363D"/>
    <w:rsid w:val="00DB683C"/>
    <w:rsid w:val="00DC64D3"/>
    <w:rsid w:val="00DD16FC"/>
    <w:rsid w:val="00DD2F76"/>
    <w:rsid w:val="00DE4A14"/>
    <w:rsid w:val="00DF54C5"/>
    <w:rsid w:val="00E04217"/>
    <w:rsid w:val="00E05D13"/>
    <w:rsid w:val="00E11199"/>
    <w:rsid w:val="00E1256B"/>
    <w:rsid w:val="00E1743B"/>
    <w:rsid w:val="00E3312A"/>
    <w:rsid w:val="00E34015"/>
    <w:rsid w:val="00E460CE"/>
    <w:rsid w:val="00E5112C"/>
    <w:rsid w:val="00E52D3E"/>
    <w:rsid w:val="00E65DE8"/>
    <w:rsid w:val="00E83B99"/>
    <w:rsid w:val="00E90B62"/>
    <w:rsid w:val="00E90D28"/>
    <w:rsid w:val="00E9110A"/>
    <w:rsid w:val="00E91585"/>
    <w:rsid w:val="00EA32F4"/>
    <w:rsid w:val="00EA34EC"/>
    <w:rsid w:val="00EA40E5"/>
    <w:rsid w:val="00EA67DD"/>
    <w:rsid w:val="00EB1913"/>
    <w:rsid w:val="00EB65F6"/>
    <w:rsid w:val="00EC0C6B"/>
    <w:rsid w:val="00ED34FB"/>
    <w:rsid w:val="00EF3CDD"/>
    <w:rsid w:val="00F00EC7"/>
    <w:rsid w:val="00F02DD1"/>
    <w:rsid w:val="00F032F6"/>
    <w:rsid w:val="00F277D2"/>
    <w:rsid w:val="00F378BB"/>
    <w:rsid w:val="00F43068"/>
    <w:rsid w:val="00F457CF"/>
    <w:rsid w:val="00F547E2"/>
    <w:rsid w:val="00F566CD"/>
    <w:rsid w:val="00F67D90"/>
    <w:rsid w:val="00F84B61"/>
    <w:rsid w:val="00F954E5"/>
    <w:rsid w:val="00FB0136"/>
    <w:rsid w:val="00FC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77"/>
    <w:pPr>
      <w:tabs>
        <w:tab w:val="left" w:pos="284"/>
      </w:tabs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3B507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3B5077"/>
    <w:pPr>
      <w:keepNext/>
      <w:framePr w:hSpace="141" w:wrap="around" w:vAnchor="text" w:hAnchor="margin" w:y="3331"/>
      <w:jc w:val="center"/>
      <w:outlineLvl w:val="1"/>
    </w:pPr>
    <w:rPr>
      <w:rFonts w:ascii="Arial" w:eastAsia="Times New Roman" w:hAnsi="Arial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3B5077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3B5077"/>
    <w:rPr>
      <w:rFonts w:ascii="Arial" w:eastAsia="Times New Roman" w:hAnsi="Arial" w:cs="Arial"/>
      <w:b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7795E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767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67E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7322F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435E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435E1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435E1"/>
    <w:rPr>
      <w:rFonts w:ascii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435E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435E1"/>
    <w:rPr>
      <w:b/>
      <w:bCs/>
    </w:rPr>
  </w:style>
  <w:style w:type="paragraph" w:styleId="SemEspaamento">
    <w:name w:val="No Spacing"/>
    <w:uiPriority w:val="1"/>
    <w:qFormat/>
    <w:rsid w:val="00233EBE"/>
    <w:pPr>
      <w:tabs>
        <w:tab w:val="left" w:pos="284"/>
      </w:tabs>
      <w:jc w:val="both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881C5F"/>
    <w:pPr>
      <w:tabs>
        <w:tab w:val="clear" w:pos="284"/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81C5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881C5F"/>
    <w:pPr>
      <w:tabs>
        <w:tab w:val="clear" w:pos="284"/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1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aperei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lha_de_C_lculo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5"/>
  <c:chart>
    <c:title>
      <c:tx>
        <c:rich>
          <a:bodyPr/>
          <a:lstStyle/>
          <a:p>
            <a:pPr>
              <a:defRPr/>
            </a:pPr>
            <a:r>
              <a:rPr lang="en-US" sz="1600"/>
              <a:t>Distribuição anual de casos de DPI</a:t>
            </a:r>
          </a:p>
          <a:p>
            <a:pPr>
              <a:defRPr/>
            </a:pPr>
            <a:r>
              <a:rPr lang="en-US" sz="1600"/>
              <a:t> (2000-2012)</a:t>
            </a:r>
          </a:p>
        </c:rich>
      </c:tx>
      <c:layout>
        <c:manualLayout>
          <c:xMode val="edge"/>
          <c:yMode val="edge"/>
          <c:x val="9.3872535709912566E-2"/>
          <c:y val="1.2517924077381699E-3"/>
        </c:manualLayout>
      </c:layout>
    </c:title>
    <c:plotArea>
      <c:layout/>
      <c:areaChart>
        <c:grouping val="standard"/>
        <c:ser>
          <c:idx val="0"/>
          <c:order val="0"/>
          <c:tx>
            <c:strRef>
              <c:f>'Folha1'!$B$1</c:f>
              <c:strCache>
                <c:ptCount val="1"/>
                <c:pt idx="0">
                  <c:v>Nº casos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0"/>
                  <c:y val="-0.21299254526091591"/>
                </c:manualLayout>
              </c:layout>
              <c:showVal val="1"/>
            </c:dLbl>
            <c:dLbl>
              <c:idx val="2"/>
              <c:layout>
                <c:manualLayout>
                  <c:x val="8.1135902636917043E-3"/>
                  <c:y val="-0.11927582534611335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5.4090601757944903E-3"/>
                  <c:y val="-0.27263045793397234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0.31522896698615677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0.21725239616613506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0.31522896698615677"/>
                </c:manualLayout>
              </c:layout>
              <c:showVal val="1"/>
            </c:dLbl>
            <c:dLbl>
              <c:idx val="8"/>
              <c:layout>
                <c:manualLayout>
                  <c:x val="8.1135902636917043E-3"/>
                  <c:y val="-0.1277955271565495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7.6677316293929779E-2"/>
                </c:manualLayout>
              </c:layout>
              <c:showVal val="1"/>
            </c:dLbl>
            <c:dLbl>
              <c:idx val="10"/>
              <c:delete val="1"/>
            </c:dLbl>
            <c:dLbl>
              <c:idx val="11"/>
              <c:layout>
                <c:manualLayout>
                  <c:x val="0"/>
                  <c:y val="-0.11075612353567652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8.9456869009585077E-2"/>
                </c:manualLayout>
              </c:layout>
              <c:showVal val="1"/>
            </c:dLbl>
            <c:showVal val="1"/>
          </c:dLbls>
          <c:cat>
            <c:numRef>
              <c:f>'Folha1'!$A$2:$A$14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'Folha1'!$B$2:$B$14</c:f>
              <c:numCache>
                <c:formatCode>General</c:formatCode>
                <c:ptCount val="13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5</c:v>
                </c:pt>
                <c:pt idx="5">
                  <c:v>6</c:v>
                </c:pt>
                <c:pt idx="6">
                  <c:v>3</c:v>
                </c:pt>
                <c:pt idx="7">
                  <c:v>6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dLbls>
          <c:showVal val="1"/>
        </c:dLbls>
        <c:axId val="89758720"/>
        <c:axId val="89838336"/>
      </c:areaChart>
      <c:catAx>
        <c:axId val="89758720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pt-PT"/>
          </a:p>
        </c:txPr>
        <c:crossAx val="89838336"/>
        <c:crosses val="autoZero"/>
        <c:auto val="1"/>
        <c:lblAlgn val="ctr"/>
        <c:lblOffset val="100"/>
      </c:catAx>
      <c:valAx>
        <c:axId val="89838336"/>
        <c:scaling>
          <c:orientation val="minMax"/>
        </c:scaling>
        <c:axPos val="l"/>
        <c:numFmt formatCode="General" sourceLinked="1"/>
        <c:tickLblPos val="nextTo"/>
        <c:crossAx val="897587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253009513051367"/>
          <c:y val="0.45943428559033428"/>
          <c:w val="0.16621297865193055"/>
          <c:h val="7.6377735840871375E-2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style val="25"/>
  <c:chart>
    <c:plotArea>
      <c:layout/>
      <c:barChart>
        <c:barDir val="col"/>
        <c:grouping val="clustered"/>
        <c:ser>
          <c:idx val="0"/>
          <c:order val="0"/>
          <c:tx>
            <c:strRef>
              <c:f>'Folha1'!$B$1</c:f>
              <c:strCache>
                <c:ptCount val="1"/>
                <c:pt idx="0">
                  <c:v>1 dose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cat>
            <c:numRef>
              <c:f>'Folha1'!$A$2:$A$4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2005</c:v>
                </c:pt>
                <c:pt idx="2">
                  <c:v>2010</c:v>
                </c:pt>
              </c:numCache>
            </c:numRef>
          </c:cat>
          <c:val>
            <c:numRef>
              <c:f>'Folha1'!$B$2:$B$4</c:f>
              <c:numCache>
                <c:formatCode>0.0%</c:formatCode>
                <c:ptCount val="3"/>
                <c:pt idx="0">
                  <c:v>0.30120000000000002</c:v>
                </c:pt>
                <c:pt idx="1">
                  <c:v>0.52329999999999999</c:v>
                </c:pt>
                <c:pt idx="2">
                  <c:v>0.71030000000000004</c:v>
                </c:pt>
              </c:numCache>
            </c:numRef>
          </c:val>
        </c:ser>
        <c:ser>
          <c:idx val="1"/>
          <c:order val="1"/>
          <c:tx>
            <c:strRef>
              <c:f>'Folha1'!$C$1</c:f>
              <c:strCache>
                <c:ptCount val="1"/>
                <c:pt idx="0">
                  <c:v>2 doses 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'Folha1'!$A$2:$A$4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2005</c:v>
                </c:pt>
                <c:pt idx="2">
                  <c:v>2010</c:v>
                </c:pt>
              </c:numCache>
            </c:numRef>
          </c:cat>
          <c:val>
            <c:numRef>
              <c:f>'Folha1'!$C$2:$C$4</c:f>
              <c:numCache>
                <c:formatCode>0.0%</c:formatCode>
                <c:ptCount val="3"/>
                <c:pt idx="0">
                  <c:v>0.24710000000000001</c:v>
                </c:pt>
                <c:pt idx="1">
                  <c:v>0.50109999999999999</c:v>
                </c:pt>
                <c:pt idx="2">
                  <c:v>0.69599999999999995</c:v>
                </c:pt>
              </c:numCache>
            </c:numRef>
          </c:val>
        </c:ser>
        <c:ser>
          <c:idx val="2"/>
          <c:order val="2"/>
          <c:tx>
            <c:strRef>
              <c:f>'Folha1'!$D$1</c:f>
              <c:strCache>
                <c:ptCount val="1"/>
                <c:pt idx="0">
                  <c:v>3 doses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'Folha1'!$A$2:$A$4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2005</c:v>
                </c:pt>
                <c:pt idx="2">
                  <c:v>2010</c:v>
                </c:pt>
              </c:numCache>
            </c:numRef>
          </c:cat>
          <c:val>
            <c:numRef>
              <c:f>'Folha1'!$D$2:$D$4</c:f>
              <c:numCache>
                <c:formatCode>0.0%</c:formatCode>
                <c:ptCount val="3"/>
                <c:pt idx="0">
                  <c:v>0.18120000000000044</c:v>
                </c:pt>
                <c:pt idx="1">
                  <c:v>0.46210000000000001</c:v>
                </c:pt>
                <c:pt idx="2" formatCode="0.00%">
                  <c:v>0.64040000000000064</c:v>
                </c:pt>
              </c:numCache>
            </c:numRef>
          </c:val>
        </c:ser>
        <c:ser>
          <c:idx val="3"/>
          <c:order val="3"/>
          <c:tx>
            <c:strRef>
              <c:f>'Folha1'!$E$1</c:f>
              <c:strCache>
                <c:ptCount val="1"/>
                <c:pt idx="0">
                  <c:v>4 doses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Pt>
            <c:idx val="2"/>
            <c:spPr>
              <a:solidFill>
                <a:schemeClr val="bg1">
                  <a:lumMod val="75000"/>
                </a:schemeClr>
              </a:solidFill>
            </c:spPr>
          </c:dPt>
          <c:cat>
            <c:numRef>
              <c:f>'Folha1'!$A$2:$A$4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2005</c:v>
                </c:pt>
                <c:pt idx="2">
                  <c:v>2010</c:v>
                </c:pt>
              </c:numCache>
            </c:numRef>
          </c:cat>
          <c:val>
            <c:numRef>
              <c:f>'Folha1'!$E$2:$E$4</c:f>
              <c:numCache>
                <c:formatCode>0.00%</c:formatCode>
                <c:ptCount val="3"/>
                <c:pt idx="0" formatCode="0.0%">
                  <c:v>9.8300000000000026E-2</c:v>
                </c:pt>
                <c:pt idx="1">
                  <c:v>0.37530000000000113</c:v>
                </c:pt>
                <c:pt idx="2">
                  <c:v>0.44060000000000005</c:v>
                </c:pt>
              </c:numCache>
            </c:numRef>
          </c:val>
        </c:ser>
        <c:axId val="76359552"/>
        <c:axId val="76361088"/>
      </c:barChart>
      <c:catAx>
        <c:axId val="76359552"/>
        <c:scaling>
          <c:orientation val="minMax"/>
        </c:scaling>
        <c:axPos val="b"/>
        <c:numFmt formatCode="General" sourceLinked="1"/>
        <c:tickLblPos val="nextTo"/>
        <c:crossAx val="76361088"/>
        <c:crosses val="autoZero"/>
        <c:auto val="1"/>
        <c:lblAlgn val="ctr"/>
        <c:lblOffset val="100"/>
      </c:catAx>
      <c:valAx>
        <c:axId val="76361088"/>
        <c:scaling>
          <c:orientation val="minMax"/>
        </c:scaling>
        <c:axPos val="l"/>
        <c:majorGridlines/>
        <c:numFmt formatCode="0%" sourceLinked="0"/>
        <c:tickLblPos val="nextTo"/>
        <c:crossAx val="76359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41171846272843"/>
          <c:y val="0.45461018761543698"/>
          <c:w val="0.16398476760453218"/>
          <c:h val="0.31356153397492137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D33955-C67B-40C4-9E02-E6B81EFF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3245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Lurdes</dc:creator>
  <cp:lastModifiedBy>Helena Pereira</cp:lastModifiedBy>
  <cp:revision>3</cp:revision>
  <cp:lastPrinted>2013-02-06T11:59:00Z</cp:lastPrinted>
  <dcterms:created xsi:type="dcterms:W3CDTF">2014-06-14T22:39:00Z</dcterms:created>
  <dcterms:modified xsi:type="dcterms:W3CDTF">2014-06-14T22:41:00Z</dcterms:modified>
</cp:coreProperties>
</file>